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A84E8" w14:textId="07C0A58F" w:rsidR="00423253" w:rsidRDefault="00423253" w:rsidP="00423253">
      <w:pPr>
        <w:pStyle w:val="Title"/>
        <w:rPr>
          <w:sz w:val="36"/>
          <w:szCs w:val="36"/>
        </w:rPr>
      </w:pPr>
      <w:r w:rsidRPr="00423253">
        <w:rPr>
          <w:sz w:val="36"/>
          <w:szCs w:val="36"/>
        </w:rPr>
        <w:t xml:space="preserve">Lighting for Health and Wellness Recommendations in Offices: </w:t>
      </w:r>
      <w:r>
        <w:rPr>
          <w:sz w:val="36"/>
          <w:szCs w:val="36"/>
        </w:rPr>
        <w:t xml:space="preserve">A </w:t>
      </w:r>
      <w:r w:rsidRPr="00423253">
        <w:rPr>
          <w:sz w:val="36"/>
          <w:szCs w:val="36"/>
        </w:rPr>
        <w:t xml:space="preserve">Circadian Lighting Pilot Project </w:t>
      </w:r>
      <w:r>
        <w:rPr>
          <w:sz w:val="36"/>
          <w:szCs w:val="36"/>
        </w:rPr>
        <w:t>in Chicago, IL</w:t>
      </w:r>
    </w:p>
    <w:p w14:paraId="4B3762E5" w14:textId="77777777" w:rsidR="00265546" w:rsidRDefault="00265546" w:rsidP="00151C38"/>
    <w:p w14:paraId="049C1FC4" w14:textId="7BB78A09" w:rsidR="00151C38" w:rsidRPr="00265546" w:rsidRDefault="00151C38" w:rsidP="00151C38">
      <w:pPr>
        <w:rPr>
          <w:vertAlign w:val="superscript"/>
        </w:rPr>
      </w:pPr>
      <w:r>
        <w:t>Sarah Safranek</w:t>
      </w:r>
      <w:r w:rsidR="00265546">
        <w:rPr>
          <w:vertAlign w:val="superscript"/>
        </w:rPr>
        <w:t>1</w:t>
      </w:r>
      <w:r>
        <w:t>, Jessica Collier</w:t>
      </w:r>
      <w:r w:rsidR="00265546">
        <w:rPr>
          <w:vertAlign w:val="superscript"/>
        </w:rPr>
        <w:t>1</w:t>
      </w:r>
      <w:r>
        <w:t xml:space="preserve">, </w:t>
      </w:r>
      <w:r w:rsidR="00265546">
        <w:t>Jess Baker</w:t>
      </w:r>
      <w:r w:rsidR="00265546">
        <w:rPr>
          <w:vertAlign w:val="superscript"/>
        </w:rPr>
        <w:t>2</w:t>
      </w:r>
      <w:r w:rsidR="00265546">
        <w:t>, John Jacobsen</w:t>
      </w:r>
      <w:r w:rsidR="00265546">
        <w:rPr>
          <w:vertAlign w:val="superscript"/>
        </w:rPr>
        <w:t>2</w:t>
      </w:r>
      <w:r w:rsidR="00265546">
        <w:t>, Andrea Wilkerson</w:t>
      </w:r>
      <w:r w:rsidR="00265546">
        <w:rPr>
          <w:vertAlign w:val="superscript"/>
        </w:rPr>
        <w:t>1</w:t>
      </w:r>
    </w:p>
    <w:p w14:paraId="1491A49F" w14:textId="2B3FCA3A" w:rsidR="00265546" w:rsidRDefault="00265546" w:rsidP="00265546">
      <w:pPr>
        <w:spacing w:after="0"/>
        <w:ind w:left="720"/>
      </w:pPr>
      <w:r>
        <w:rPr>
          <w:vertAlign w:val="superscript"/>
        </w:rPr>
        <w:t>1</w:t>
      </w:r>
      <w:r>
        <w:t>Pacific Northwest National Laboratory</w:t>
      </w:r>
    </w:p>
    <w:p w14:paraId="7ADE6AC1" w14:textId="64274150" w:rsidR="00265546" w:rsidRPr="00151C38" w:rsidRDefault="00265546" w:rsidP="00265546">
      <w:pPr>
        <w:spacing w:after="0"/>
        <w:ind w:left="720"/>
      </w:pPr>
      <w:r>
        <w:rPr>
          <w:vertAlign w:val="superscript"/>
        </w:rPr>
        <w:t>2</w:t>
      </w:r>
      <w:r>
        <w:t>Schuler Shook</w:t>
      </w:r>
    </w:p>
    <w:p w14:paraId="77C14375" w14:textId="34D07378" w:rsidR="006B22CE" w:rsidRDefault="62821283" w:rsidP="00650DBE">
      <w:pPr>
        <w:pStyle w:val="Heading1"/>
        <w:tabs>
          <w:tab w:val="center" w:pos="4680"/>
        </w:tabs>
      </w:pPr>
      <w:commentRangeStart w:id="0"/>
      <w:r>
        <w:t>Introduction</w:t>
      </w:r>
      <w:commentRangeEnd w:id="0"/>
      <w:r w:rsidR="00DD223C">
        <w:rPr>
          <w:rStyle w:val="CommentReference"/>
          <w:rFonts w:asciiTheme="minorHAnsi" w:eastAsiaTheme="minorHAnsi" w:hAnsiTheme="minorHAnsi" w:cstheme="minorBidi"/>
          <w:color w:val="auto"/>
        </w:rPr>
        <w:commentReference w:id="0"/>
      </w:r>
      <w:r w:rsidR="006B22CE">
        <w:tab/>
      </w:r>
    </w:p>
    <w:p w14:paraId="1595C1E4" w14:textId="2688930D" w:rsidR="105CB119" w:rsidRDefault="33320FFD" w:rsidP="62821283">
      <w:pPr>
        <w:spacing w:line="257" w:lineRule="auto"/>
      </w:pPr>
      <w:r>
        <w:t>In 2019 Cook County</w:t>
      </w:r>
      <w:r w:rsidR="00E20211">
        <w:t xml:space="preserve"> </w:t>
      </w:r>
      <w:r>
        <w:t xml:space="preserve">initiated a request for proposals for a pilot project aimed at designing and specifying an advanced </w:t>
      </w:r>
      <w:r w:rsidR="50E4D99C">
        <w:t>tunable</w:t>
      </w:r>
      <w:r w:rsidR="58CFA481">
        <w:t xml:space="preserve"> </w:t>
      </w:r>
      <w:r>
        <w:t xml:space="preserve">lighting system for government offices in Chicago, Illinois. The primary goal of the project was to replace the existing tubular LED (TLED) lighting system with a lighting system that supported the </w:t>
      </w:r>
      <w:r w:rsidR="5E767B49">
        <w:t xml:space="preserve">circadian rhythms </w:t>
      </w:r>
      <w:r w:rsidR="1059A832">
        <w:t>and wellbeing</w:t>
      </w:r>
      <w:r w:rsidR="00E20211">
        <w:t xml:space="preserve"> their</w:t>
      </w:r>
      <w:r>
        <w:t xml:space="preserve"> office employees. A secondary goal was to evaluate the </w:t>
      </w:r>
      <w:r w:rsidR="70308A13">
        <w:t xml:space="preserve">potential </w:t>
      </w:r>
      <w:r>
        <w:t xml:space="preserve">impacts of the new lighting system, informing Cook County’s internal workplace design standards. </w:t>
      </w:r>
      <w:r w:rsidR="6F940FC1">
        <w:t>Th</w:t>
      </w:r>
      <w:r w:rsidR="4D231489">
        <w:t>is C</w:t>
      </w:r>
      <w:r w:rsidR="6F940FC1">
        <w:t xml:space="preserve">ircadian </w:t>
      </w:r>
      <w:r w:rsidR="6F813E7A">
        <w:t>Lighting</w:t>
      </w:r>
      <w:r>
        <w:t xml:space="preserve"> Pilot Project</w:t>
      </w:r>
      <w:r w:rsidR="6F940FC1">
        <w:t xml:space="preserve"> </w:t>
      </w:r>
      <w:r w:rsidR="7BA5208A">
        <w:t>focused</w:t>
      </w:r>
      <w:r>
        <w:t xml:space="preserve"> on two floors of the George W. Dunne Cook County Administration Building, occupied by the </w:t>
      </w:r>
      <w:r w:rsidR="29512F61">
        <w:t>t</w:t>
      </w:r>
      <w:r w:rsidR="6F940FC1">
        <w:t xml:space="preserve">ransportation </w:t>
      </w:r>
      <w:r w:rsidR="0A14B526">
        <w:t>d</w:t>
      </w:r>
      <w:r w:rsidR="6F940FC1">
        <w:t>epartment</w:t>
      </w:r>
      <w:r>
        <w:t>.</w:t>
      </w:r>
    </w:p>
    <w:p w14:paraId="710A1302" w14:textId="20A20214" w:rsidR="105CB119" w:rsidRDefault="33320FFD" w:rsidP="62821283">
      <w:pPr>
        <w:spacing w:line="257" w:lineRule="auto"/>
      </w:pPr>
      <w:r>
        <w:t xml:space="preserve">Schuler Shook, a Chicago-based lighting design firm, was awarded the Circadian </w:t>
      </w:r>
      <w:r w:rsidR="77E90E37">
        <w:t xml:space="preserve">Lighting </w:t>
      </w:r>
      <w:r>
        <w:t xml:space="preserve">Pilot Project in October 2019 and invited Pacific Northwest National Laboratory (PNNL) to contribute as a research partner. Based on the initial project goals, Schuler Shook and PNNL established design objectives that would enable a human factors study in the office spaces, investigating the benefits and drawbacks of using a tunable LED lighting system to meet existing recommendations for lighting and health. This year-long study </w:t>
      </w:r>
      <w:r w:rsidRPr="33320FFD">
        <w:rPr>
          <w:rFonts w:ascii="Calibri" w:eastAsia="Calibri" w:hAnsi="Calibri" w:cs="Calibri"/>
        </w:rPr>
        <w:t xml:space="preserve">was designed to </w:t>
      </w:r>
      <w:r w:rsidR="009A6BD4">
        <w:rPr>
          <w:rFonts w:ascii="Calibri" w:eastAsia="Calibri" w:hAnsi="Calibri" w:cs="Calibri"/>
        </w:rPr>
        <w:t>further</w:t>
      </w:r>
      <w:r w:rsidR="009A6BD4" w:rsidRPr="33320FFD">
        <w:rPr>
          <w:rFonts w:ascii="Calibri" w:eastAsia="Calibri" w:hAnsi="Calibri" w:cs="Calibri"/>
        </w:rPr>
        <w:t xml:space="preserve"> </w:t>
      </w:r>
      <w:r w:rsidRPr="33320FFD">
        <w:rPr>
          <w:rFonts w:ascii="Calibri" w:eastAsia="Calibri" w:hAnsi="Calibri" w:cs="Calibri"/>
        </w:rPr>
        <w:t xml:space="preserve">understanding of how electric lighting attributes, </w:t>
      </w:r>
      <w:r w:rsidR="009A6BD4">
        <w:rPr>
          <w:rFonts w:ascii="Calibri" w:eastAsia="Calibri" w:hAnsi="Calibri" w:cs="Calibri"/>
        </w:rPr>
        <w:t xml:space="preserve">such as </w:t>
      </w:r>
      <w:r w:rsidRPr="33320FFD">
        <w:rPr>
          <w:rFonts w:ascii="Calibri" w:eastAsia="Calibri" w:hAnsi="Calibri" w:cs="Calibri"/>
        </w:rPr>
        <w:t xml:space="preserve">intensity </w:t>
      </w:r>
      <w:r w:rsidR="03FF5D69" w:rsidRPr="719ED59E">
        <w:rPr>
          <w:rFonts w:ascii="Calibri" w:eastAsia="Calibri" w:hAnsi="Calibri" w:cs="Calibri"/>
        </w:rPr>
        <w:t>and</w:t>
      </w:r>
      <w:r w:rsidRPr="33320FFD">
        <w:rPr>
          <w:rFonts w:ascii="Calibri" w:eastAsia="Calibri" w:hAnsi="Calibri" w:cs="Calibri"/>
        </w:rPr>
        <w:t xml:space="preserve"> spectrum, can affect how office occupants feel and behave at work while accounting for meditating variables such as lifestyle factors (e.g., diet and exercise routines), stress levels, or job satisfaction. Experimental conditions were designed to meet circadian lighting recommendations made by </w:t>
      </w:r>
      <w:r>
        <w:t>the International WELL Building Institute</w:t>
      </w:r>
      <w:r w:rsidRPr="33320FFD">
        <w:rPr>
          <w:vertAlign w:val="superscript"/>
        </w:rPr>
        <w:t xml:space="preserve">TM  </w:t>
      </w:r>
      <w:r>
        <w:t>(IWBI) and UL for office spaces while also considering Illuminating Engineering Society (IES)</w:t>
      </w:r>
      <w:r w:rsidR="009A6BD4">
        <w:t xml:space="preserve"> recommendations</w:t>
      </w:r>
      <w:r>
        <w:t xml:space="preserve"> and</w:t>
      </w:r>
      <w:r w:rsidR="009A6BD4">
        <w:t xml:space="preserve"> meeting</w:t>
      </w:r>
      <w:r>
        <w:t xml:space="preserve"> </w:t>
      </w:r>
      <w:r w:rsidRPr="33320FFD">
        <w:rPr>
          <w:rFonts w:ascii="Calibri" w:eastAsia="Calibri" w:hAnsi="Calibri" w:cs="Calibri"/>
        </w:rPr>
        <w:t>International Energy Conservation Code (IECC)</w:t>
      </w:r>
      <w:r w:rsidR="009A6BD4">
        <w:rPr>
          <w:rFonts w:ascii="Calibri" w:eastAsia="Calibri" w:hAnsi="Calibri" w:cs="Calibri"/>
        </w:rPr>
        <w:t xml:space="preserve"> requirements</w:t>
      </w:r>
      <w:r>
        <w:t>.</w:t>
      </w:r>
    </w:p>
    <w:p w14:paraId="66F40CBA" w14:textId="2AB23AE7" w:rsidR="105CB119" w:rsidRDefault="33320FFD" w:rsidP="62821283">
      <w:pPr>
        <w:spacing w:line="257" w:lineRule="auto"/>
      </w:pPr>
      <w:r>
        <w:t>Schuler Shook was responsible for the design of the lighting system</w:t>
      </w:r>
      <w:r w:rsidR="0084201F">
        <w:t xml:space="preserve"> t</w:t>
      </w:r>
      <w:r w:rsidR="00B65E76">
        <w:t xml:space="preserve">hat provided the </w:t>
      </w:r>
      <w:r w:rsidR="0084201F">
        <w:t>desired experimental conditions</w:t>
      </w:r>
      <w:r w:rsidR="6F940FC1">
        <w:t xml:space="preserve">, including </w:t>
      </w:r>
      <w:r w:rsidR="03FF5D69">
        <w:t>overseeing</w:t>
      </w:r>
      <w:r w:rsidR="6F940FC1">
        <w:t xml:space="preserve"> </w:t>
      </w:r>
      <w:r w:rsidR="03FF5D69">
        <w:t xml:space="preserve">installation and </w:t>
      </w:r>
      <w:r w:rsidR="6F940FC1">
        <w:t xml:space="preserve">commissioning. </w:t>
      </w:r>
      <w:r w:rsidR="03FF5D69">
        <w:t>D</w:t>
      </w:r>
      <w:r w:rsidR="6F940FC1">
        <w:t>ue</w:t>
      </w:r>
      <w:r>
        <w:t xml:space="preserve"> to the global pandemic, the Circadian Pilot Project was concluded after the design development phase. Despite the unexpected conclusion, the project provided a unique collaboration between PNNL and Schuler Shook </w:t>
      </w:r>
      <w:r w:rsidR="03FF5D69">
        <w:t>that</w:t>
      </w:r>
      <w:r w:rsidR="009A6BD4">
        <w:t xml:space="preserve"> highlights</w:t>
      </w:r>
      <w:r>
        <w:t xml:space="preserve"> the challenges of designing </w:t>
      </w:r>
      <w:r w:rsidR="009A6BD4">
        <w:t>to meet</w:t>
      </w:r>
      <w:r w:rsidR="00E5584B">
        <w:t xml:space="preserve"> current</w:t>
      </w:r>
      <w:r w:rsidR="009A6BD4">
        <w:t xml:space="preserve"> </w:t>
      </w:r>
      <w:r w:rsidR="6F940FC1">
        <w:t>light</w:t>
      </w:r>
      <w:r>
        <w:t xml:space="preserve"> and health recommendations with </w:t>
      </w:r>
      <w:r w:rsidR="00E5584B">
        <w:t xml:space="preserve">available </w:t>
      </w:r>
      <w:r>
        <w:t>LED luminaire and control system technologies. The following report details the lighting design process through design development</w:t>
      </w:r>
      <w:r w:rsidR="00E5584B">
        <w:t>,</w:t>
      </w:r>
      <w:r>
        <w:t xml:space="preserve"> with summaries of the relevant circadian lighting metrics, simulation tools, energy considerations, and research </w:t>
      </w:r>
      <w:r w:rsidR="79B9F298">
        <w:t xml:space="preserve">plan for the Circadian </w:t>
      </w:r>
      <w:r w:rsidR="1F4D56D0">
        <w:t xml:space="preserve">Lighting </w:t>
      </w:r>
      <w:r w:rsidR="25892804">
        <w:t>Pilot Project</w:t>
      </w:r>
      <w:r>
        <w:t>.</w:t>
      </w:r>
    </w:p>
    <w:p w14:paraId="26DEE297" w14:textId="34DEEBB5" w:rsidR="068C2DDB" w:rsidRDefault="068C2DDB" w:rsidP="00506C83">
      <w:pPr>
        <w:pStyle w:val="Heading1"/>
      </w:pPr>
      <w:r>
        <w:t>Background</w:t>
      </w:r>
    </w:p>
    <w:p w14:paraId="2692ABD6" w14:textId="4F919980" w:rsidR="00D50538" w:rsidRDefault="27C61343" w:rsidP="068C2DDB">
      <w:pPr>
        <w:rPr>
          <w:rFonts w:ascii="Calibri" w:eastAsia="Calibri" w:hAnsi="Calibri" w:cs="Calibri"/>
        </w:rPr>
      </w:pPr>
      <w:r w:rsidRPr="27C61343">
        <w:rPr>
          <w:rFonts w:ascii="Calibri" w:eastAsia="Calibri" w:hAnsi="Calibri" w:cs="Calibri"/>
        </w:rPr>
        <w:t xml:space="preserve">The 35-story George W. Dunne office building </w:t>
      </w:r>
      <w:r w:rsidR="64A54754" w:rsidRPr="719ED59E">
        <w:rPr>
          <w:rFonts w:ascii="Calibri" w:eastAsia="Calibri" w:hAnsi="Calibri" w:cs="Calibri"/>
        </w:rPr>
        <w:t>was</w:t>
      </w:r>
      <w:r w:rsidRPr="27C61343">
        <w:rPr>
          <w:rFonts w:ascii="Calibri" w:eastAsia="Calibri" w:hAnsi="Calibri" w:cs="Calibri"/>
        </w:rPr>
        <w:t xml:space="preserve"> the workplace for</w:t>
      </w:r>
      <w:r w:rsidR="00E5584B">
        <w:rPr>
          <w:rFonts w:ascii="Calibri" w:eastAsia="Calibri" w:hAnsi="Calibri" w:cs="Calibri"/>
        </w:rPr>
        <w:t xml:space="preserve"> roughly</w:t>
      </w:r>
      <w:r w:rsidRPr="27C61343">
        <w:rPr>
          <w:rFonts w:ascii="Calibri" w:eastAsia="Calibri" w:hAnsi="Calibri" w:cs="Calibri"/>
        </w:rPr>
        <w:t xml:space="preserve"> 2000 county employees</w:t>
      </w:r>
      <w:r w:rsidR="00E5584B">
        <w:rPr>
          <w:rFonts w:ascii="Calibri" w:eastAsia="Calibri" w:hAnsi="Calibri" w:cs="Calibri"/>
        </w:rPr>
        <w:t xml:space="preserve"> prior to the pandemic</w:t>
      </w:r>
      <w:r w:rsidRPr="27C61343">
        <w:rPr>
          <w:rFonts w:ascii="Calibri" w:eastAsia="Calibri" w:hAnsi="Calibri" w:cs="Calibri"/>
        </w:rPr>
        <w:t xml:space="preserve">. </w:t>
      </w:r>
      <w:r w:rsidR="00E5584B">
        <w:rPr>
          <w:rFonts w:ascii="Calibri" w:eastAsia="Calibri" w:hAnsi="Calibri" w:cs="Calibri"/>
        </w:rPr>
        <w:t xml:space="preserve">It was </w:t>
      </w:r>
      <w:r w:rsidR="64A54754" w:rsidRPr="719ED59E">
        <w:rPr>
          <w:rFonts w:ascii="Calibri" w:eastAsia="Calibri" w:hAnsi="Calibri" w:cs="Calibri"/>
        </w:rPr>
        <w:t>d</w:t>
      </w:r>
      <w:r w:rsidR="4CCC1D90" w:rsidRPr="719ED59E">
        <w:rPr>
          <w:rFonts w:ascii="Calibri" w:eastAsia="Calibri" w:hAnsi="Calibri" w:cs="Calibri"/>
        </w:rPr>
        <w:t>esigned</w:t>
      </w:r>
      <w:r w:rsidRPr="27C61343">
        <w:rPr>
          <w:rFonts w:ascii="Calibri" w:eastAsia="Calibri" w:hAnsi="Calibri" w:cs="Calibri"/>
        </w:rPr>
        <w:t xml:space="preserve"> by Skidmore, Owings &amp; Merrill in 1963 and completed in 1965, the building was historically known as the Brunswick Building and was the tallest reinforced concrete structure of its time. The building was among the early works of noted structural engineer Fazlur Khan </w:t>
      </w:r>
      <w:r w:rsidRPr="27C61343">
        <w:rPr>
          <w:rFonts w:ascii="Calibri" w:eastAsia="Calibri" w:hAnsi="Calibri" w:cs="Calibri"/>
        </w:rPr>
        <w:lastRenderedPageBreak/>
        <w:t>and pioneered the tube-within-a-tube structural system. Combined with a waffle slab design, the results were column-free interiors and the iconic “waffle iron” façade. Office floors were typical, each with 20,000 square foot floor plates. The building, centrally located within Chicago’s downtown business district and adjacent to other government buildings, became county-owned in 1997. The 23</w:t>
      </w:r>
      <w:r w:rsidRPr="27C61343">
        <w:rPr>
          <w:rFonts w:ascii="Calibri" w:eastAsia="Calibri" w:hAnsi="Calibri" w:cs="Calibri"/>
          <w:vertAlign w:val="superscript"/>
        </w:rPr>
        <w:t>rd</w:t>
      </w:r>
      <w:r w:rsidRPr="27C61343">
        <w:rPr>
          <w:rFonts w:ascii="Calibri" w:eastAsia="Calibri" w:hAnsi="Calibri" w:cs="Calibri"/>
        </w:rPr>
        <w:t xml:space="preserve"> and 24</w:t>
      </w:r>
      <w:r w:rsidRPr="27C61343">
        <w:rPr>
          <w:rFonts w:ascii="Calibri" w:eastAsia="Calibri" w:hAnsi="Calibri" w:cs="Calibri"/>
          <w:vertAlign w:val="superscript"/>
        </w:rPr>
        <w:t>th</w:t>
      </w:r>
      <w:r w:rsidRPr="27C61343">
        <w:rPr>
          <w:rFonts w:ascii="Calibri" w:eastAsia="Calibri" w:hAnsi="Calibri" w:cs="Calibri"/>
        </w:rPr>
        <w:t xml:space="preserve"> floors, currently occupied by the transportation department, were dedicated for the Circadian Pilot Project. </w:t>
      </w:r>
    </w:p>
    <w:p w14:paraId="6992C908" w14:textId="1DD53007" w:rsidR="00D50538" w:rsidRDefault="74179DD9" w:rsidP="3D1B9D33">
      <w:pPr>
        <w:rPr>
          <w:rFonts w:ascii="Calibri" w:eastAsia="Calibri" w:hAnsi="Calibri" w:cs="Calibri"/>
        </w:rPr>
      </w:pPr>
      <w:r w:rsidRPr="33320FFD">
        <w:rPr>
          <w:rFonts w:ascii="Calibri" w:eastAsia="Calibri" w:hAnsi="Calibri" w:cs="Calibri"/>
        </w:rPr>
        <w:t xml:space="preserve">While the building offered its own set of unique constraints, the project team noted many familiar challenges often found in modern workplaces during a visit to the project site. </w:t>
      </w:r>
      <w:r w:rsidR="23CC4208" w:rsidRPr="3D1B9D33">
        <w:rPr>
          <w:rFonts w:ascii="Calibri" w:eastAsia="Calibri" w:hAnsi="Calibri" w:cs="Calibri"/>
        </w:rPr>
        <w:t>The main open offices of each floor were situated on the north and south sides, with private offices and meeting rooms primarily occupying the east and west perimeters of the building.</w:t>
      </w:r>
      <w:r w:rsidR="23CC4208" w:rsidRPr="33320FFD">
        <w:rPr>
          <w:rFonts w:ascii="Calibri" w:eastAsia="Calibri" w:hAnsi="Calibri" w:cs="Calibri"/>
        </w:rPr>
        <w:t xml:space="preserve"> </w:t>
      </w:r>
      <w:r w:rsidRPr="3D1B9D33">
        <w:rPr>
          <w:rFonts w:ascii="Calibri" w:eastAsia="Calibri" w:hAnsi="Calibri" w:cs="Calibri"/>
        </w:rPr>
        <w:t xml:space="preserve">Despite the roughly 7 ft tall windows along the entire perimeter of each floor, the downtown Chicago office tower was situated between tall neighboring towers. This caused varied access to daylight for employees, depending on their location in the building. </w:t>
      </w:r>
      <w:r w:rsidR="29150F52" w:rsidRPr="3D1B9D33">
        <w:rPr>
          <w:rFonts w:ascii="Calibri" w:eastAsia="Calibri" w:hAnsi="Calibri" w:cs="Calibri"/>
        </w:rPr>
        <w:t>All windows in the open and private office spaces</w:t>
      </w:r>
      <w:r w:rsidR="173A1600" w:rsidRPr="3D1B9D33">
        <w:rPr>
          <w:rFonts w:ascii="Calibri" w:eastAsia="Calibri" w:hAnsi="Calibri" w:cs="Calibri"/>
        </w:rPr>
        <w:t xml:space="preserve"> also had a w</w:t>
      </w:r>
      <w:r w:rsidR="5AAACDCD" w:rsidRPr="33320FFD">
        <w:rPr>
          <w:rFonts w:ascii="Calibri" w:eastAsia="Calibri" w:hAnsi="Calibri" w:cs="Calibri"/>
        </w:rPr>
        <w:t>hite manually operated vertical blinds.</w:t>
      </w:r>
      <w:r w:rsidRPr="3D1B9D33">
        <w:rPr>
          <w:rFonts w:ascii="Calibri" w:eastAsia="Calibri" w:hAnsi="Calibri" w:cs="Calibri"/>
        </w:rPr>
        <w:t xml:space="preserve"> </w:t>
      </w:r>
      <w:r w:rsidR="33320FFD" w:rsidRPr="1E3904C6">
        <w:rPr>
          <w:rFonts w:ascii="Calibri" w:eastAsia="Calibri" w:hAnsi="Calibri" w:cs="Calibri"/>
        </w:rPr>
        <w:fldChar w:fldCharType="begin"/>
      </w:r>
      <w:r w:rsidR="33320FFD" w:rsidRPr="1E3904C6">
        <w:rPr>
          <w:rFonts w:ascii="Calibri" w:eastAsia="Calibri" w:hAnsi="Calibri" w:cs="Calibri"/>
        </w:rPr>
        <w:instrText xml:space="preserve"> REF _Ref90014918 \h </w:instrText>
      </w:r>
      <w:r w:rsidR="33320FFD" w:rsidRPr="1E3904C6">
        <w:rPr>
          <w:rFonts w:ascii="Calibri" w:eastAsia="Calibri" w:hAnsi="Calibri" w:cs="Calibri"/>
        </w:rPr>
      </w:r>
      <w:r w:rsidR="33320FFD" w:rsidRPr="1E3904C6">
        <w:rPr>
          <w:rFonts w:ascii="Calibri" w:eastAsia="Calibri" w:hAnsi="Calibri" w:cs="Calibri"/>
        </w:rPr>
        <w:fldChar w:fldCharType="separate"/>
      </w:r>
      <w:r w:rsidR="6B071D19">
        <w:t xml:space="preserve">Figure </w:t>
      </w:r>
      <w:r w:rsidR="6B071D19" w:rsidRPr="3D1B9D33">
        <w:rPr>
          <w:noProof/>
        </w:rPr>
        <w:t>1</w:t>
      </w:r>
      <w:r w:rsidR="33320FFD" w:rsidRPr="1E3904C6">
        <w:rPr>
          <w:rFonts w:ascii="Calibri" w:eastAsia="Calibri" w:hAnsi="Calibri" w:cs="Calibri"/>
        </w:rPr>
        <w:fldChar w:fldCharType="end"/>
      </w:r>
      <w:r w:rsidR="6B071D19" w:rsidRPr="3D1B9D33">
        <w:rPr>
          <w:rFonts w:ascii="Calibri" w:eastAsia="Calibri" w:hAnsi="Calibri" w:cs="Calibri"/>
        </w:rPr>
        <w:t xml:space="preserve"> shows a schematic floorplan with the space type distribution of the 23</w:t>
      </w:r>
      <w:r w:rsidR="6B071D19" w:rsidRPr="3D1B9D33">
        <w:rPr>
          <w:rFonts w:ascii="Calibri" w:eastAsia="Calibri" w:hAnsi="Calibri" w:cs="Calibri"/>
          <w:vertAlign w:val="superscript"/>
        </w:rPr>
        <w:t>rd</w:t>
      </w:r>
      <w:r w:rsidR="6B071D19" w:rsidRPr="3D1B9D33">
        <w:rPr>
          <w:rFonts w:ascii="Calibri" w:eastAsia="Calibri" w:hAnsi="Calibri" w:cs="Calibri"/>
        </w:rPr>
        <w:t xml:space="preserve"> floor as well as the current furniture layout in the open office spaces.</w:t>
      </w:r>
    </w:p>
    <w:p w14:paraId="2E050F21" w14:textId="14ADF03B" w:rsidR="00D50538" w:rsidRDefault="74179DD9" w:rsidP="3D1B9D33">
      <w:pPr>
        <w:rPr>
          <w:rFonts w:ascii="Calibri" w:eastAsia="Calibri" w:hAnsi="Calibri" w:cs="Calibri"/>
        </w:rPr>
      </w:pPr>
      <w:r w:rsidRPr="33320FFD">
        <w:rPr>
          <w:rFonts w:ascii="Calibri" w:eastAsia="Calibri" w:hAnsi="Calibri" w:cs="Calibri"/>
        </w:rPr>
        <w:t>Walls had been recently painted lighter neutral tones, with medium grey-blue accent finishes found on interior and meeting room walls.</w:t>
      </w:r>
      <w:r w:rsidR="0026C27E" w:rsidRPr="3D1B9D33">
        <w:rPr>
          <w:rFonts w:ascii="Calibri" w:eastAsia="Calibri" w:hAnsi="Calibri" w:cs="Calibri"/>
        </w:rPr>
        <w:t xml:space="preserve"> A 2 ft by 2 ft lay-in acoustical ceiling tile grid created </w:t>
      </w:r>
      <w:commentRangeStart w:id="1"/>
      <w:r w:rsidR="0026C27E" w:rsidRPr="3D1B9D33">
        <w:rPr>
          <w:rFonts w:ascii="Calibri" w:eastAsia="Calibri" w:hAnsi="Calibri" w:cs="Calibri"/>
        </w:rPr>
        <w:t>ceiling heights</w:t>
      </w:r>
      <w:commentRangeEnd w:id="1"/>
      <w:r>
        <w:rPr>
          <w:rStyle w:val="CommentReference"/>
        </w:rPr>
        <w:commentReference w:id="1"/>
      </w:r>
      <w:r w:rsidR="0026C27E" w:rsidRPr="3D1B9D33">
        <w:rPr>
          <w:rFonts w:ascii="Calibri" w:eastAsia="Calibri" w:hAnsi="Calibri" w:cs="Calibri"/>
        </w:rPr>
        <w:t xml:space="preserve"> of 8.75 ft, while some ceiling conditions dropped to a low 8 ft due to structural and mechanical constraints.</w:t>
      </w:r>
      <w:r w:rsidRPr="33320FFD">
        <w:rPr>
          <w:rFonts w:ascii="Calibri" w:eastAsia="Calibri" w:hAnsi="Calibri" w:cs="Calibri"/>
        </w:rPr>
        <w:t xml:space="preserve"> </w:t>
      </w:r>
      <w:r w:rsidR="7A99BB63" w:rsidRPr="3D1B9D33">
        <w:rPr>
          <w:rFonts w:ascii="Calibri" w:eastAsia="Calibri" w:hAnsi="Calibri" w:cs="Calibri"/>
        </w:rPr>
        <w:t xml:space="preserve">The open office </w:t>
      </w:r>
      <w:r w:rsidR="127AF838" w:rsidRPr="3D1B9D33">
        <w:rPr>
          <w:rFonts w:ascii="Calibri" w:eastAsia="Calibri" w:hAnsi="Calibri" w:cs="Calibri"/>
        </w:rPr>
        <w:t xml:space="preserve">workstations used </w:t>
      </w:r>
      <w:r w:rsidR="7A99BB63" w:rsidRPr="3D1B9D33">
        <w:rPr>
          <w:rFonts w:ascii="Calibri" w:eastAsia="Calibri" w:hAnsi="Calibri" w:cs="Calibri"/>
        </w:rPr>
        <w:t xml:space="preserve">cubicles </w:t>
      </w:r>
      <w:r w:rsidR="61327C79" w:rsidRPr="3D1B9D33">
        <w:rPr>
          <w:rFonts w:ascii="Calibri" w:eastAsia="Calibri" w:hAnsi="Calibri" w:cs="Calibri"/>
        </w:rPr>
        <w:t xml:space="preserve">with </w:t>
      </w:r>
      <w:r w:rsidR="7A99BB63" w:rsidRPr="3D1B9D33">
        <w:rPr>
          <w:rFonts w:ascii="Calibri" w:eastAsia="Calibri" w:hAnsi="Calibri" w:cs="Calibri"/>
        </w:rPr>
        <w:t xml:space="preserve">5 ft tall, neutrally colored partitions. </w:t>
      </w:r>
      <w:r w:rsidRPr="33320FFD">
        <w:rPr>
          <w:rFonts w:ascii="Calibri" w:eastAsia="Calibri" w:hAnsi="Calibri" w:cs="Calibri"/>
        </w:rPr>
        <w:t xml:space="preserve">Workstations in both open and private offices were oriented </w:t>
      </w:r>
      <w:r w:rsidR="4B788FEF" w:rsidRPr="33320FFD">
        <w:rPr>
          <w:rFonts w:ascii="Calibri" w:eastAsia="Calibri" w:hAnsi="Calibri" w:cs="Calibri"/>
        </w:rPr>
        <w:t>by</w:t>
      </w:r>
      <w:r w:rsidRPr="33320FFD">
        <w:rPr>
          <w:rFonts w:ascii="Calibri" w:eastAsia="Calibri" w:hAnsi="Calibri" w:cs="Calibri"/>
        </w:rPr>
        <w:t xml:space="preserve"> employees</w:t>
      </w:r>
      <w:r w:rsidR="5ED5BCB3" w:rsidRPr="33320FFD">
        <w:rPr>
          <w:rFonts w:ascii="Calibri" w:eastAsia="Calibri" w:hAnsi="Calibri" w:cs="Calibri"/>
        </w:rPr>
        <w:t xml:space="preserve"> </w:t>
      </w:r>
      <w:r w:rsidR="21480CE6" w:rsidRPr="33320FFD">
        <w:rPr>
          <w:rFonts w:ascii="Calibri" w:eastAsia="Calibri" w:hAnsi="Calibri" w:cs="Calibri"/>
        </w:rPr>
        <w:t>to</w:t>
      </w:r>
      <w:r w:rsidR="59653BE5" w:rsidRPr="3D1B9D33">
        <w:rPr>
          <w:rFonts w:ascii="Calibri" w:eastAsia="Calibri" w:hAnsi="Calibri" w:cs="Calibri"/>
        </w:rPr>
        <w:t xml:space="preserve"> predominantly</w:t>
      </w:r>
      <w:r w:rsidRPr="33320FFD">
        <w:rPr>
          <w:rFonts w:ascii="Calibri" w:eastAsia="Calibri" w:hAnsi="Calibri" w:cs="Calibri"/>
        </w:rPr>
        <w:t xml:space="preserve"> face the interior circulation zones, with their backs and computer monitors towards the perimeter glazing, as seen in </w:t>
      </w:r>
      <w:r w:rsidR="33320FFD" w:rsidRPr="1E3904C6">
        <w:rPr>
          <w:rFonts w:ascii="Calibri" w:eastAsia="Calibri" w:hAnsi="Calibri" w:cs="Calibri"/>
        </w:rPr>
        <w:fldChar w:fldCharType="begin"/>
      </w:r>
      <w:r w:rsidR="33320FFD" w:rsidRPr="1E3904C6">
        <w:rPr>
          <w:rFonts w:ascii="Calibri" w:eastAsia="Calibri" w:hAnsi="Calibri" w:cs="Calibri"/>
        </w:rPr>
        <w:instrText xml:space="preserve"> REF _Ref90014570 \h </w:instrText>
      </w:r>
      <w:r w:rsidR="33320FFD" w:rsidRPr="1E3904C6">
        <w:rPr>
          <w:rFonts w:ascii="Calibri" w:eastAsia="Calibri" w:hAnsi="Calibri" w:cs="Calibri"/>
        </w:rPr>
      </w:r>
      <w:r w:rsidR="33320FFD" w:rsidRPr="1E3904C6">
        <w:rPr>
          <w:rFonts w:ascii="Calibri" w:eastAsia="Calibri" w:hAnsi="Calibri" w:cs="Calibri"/>
        </w:rPr>
        <w:fldChar w:fldCharType="separate"/>
      </w:r>
      <w:r w:rsidR="10A5B56B">
        <w:t xml:space="preserve">Figure </w:t>
      </w:r>
      <w:r w:rsidR="10A5B56B">
        <w:rPr>
          <w:noProof/>
        </w:rPr>
        <w:t>1</w:t>
      </w:r>
      <w:r w:rsidR="33320FFD" w:rsidRPr="1E3904C6">
        <w:rPr>
          <w:rFonts w:ascii="Calibri" w:eastAsia="Calibri" w:hAnsi="Calibri" w:cs="Calibri"/>
        </w:rPr>
        <w:fldChar w:fldCharType="end"/>
      </w:r>
      <w:r w:rsidR="453FF6FF" w:rsidRPr="719ED59E">
        <w:rPr>
          <w:rFonts w:ascii="Calibri" w:eastAsia="Calibri" w:hAnsi="Calibri" w:cs="Calibri"/>
        </w:rPr>
        <w:t xml:space="preserve"> and Figure 2</w:t>
      </w:r>
      <w:r w:rsidR="5ED5BCB3" w:rsidRPr="719ED59E">
        <w:rPr>
          <w:rFonts w:ascii="Calibri" w:eastAsia="Calibri" w:hAnsi="Calibri" w:cs="Calibri"/>
        </w:rPr>
        <w:t>.</w:t>
      </w:r>
      <w:r w:rsidRPr="33320FFD">
        <w:rPr>
          <w:rFonts w:ascii="Calibri" w:eastAsia="Calibri" w:hAnsi="Calibri" w:cs="Calibri"/>
        </w:rPr>
        <w:t xml:space="preserve"> </w:t>
      </w:r>
      <w:r w:rsidR="3360EA48" w:rsidRPr="33320FFD">
        <w:rPr>
          <w:rFonts w:ascii="Calibri" w:eastAsia="Calibri" w:hAnsi="Calibri" w:cs="Calibri"/>
        </w:rPr>
        <w:t>Darker desk finishes</w:t>
      </w:r>
      <w:r w:rsidR="3360EA48" w:rsidRPr="1E3904C6">
        <w:rPr>
          <w:rFonts w:ascii="Calibri" w:eastAsia="Calibri" w:hAnsi="Calibri" w:cs="Calibri"/>
        </w:rPr>
        <w:t>, like those seen in Figure 2, were observed in the private office spaces.</w:t>
      </w:r>
    </w:p>
    <w:p w14:paraId="53B51F33" w14:textId="066D6A30" w:rsidR="068C2DDB" w:rsidRDefault="611C12DC" w:rsidP="068C2DDB">
      <w:r>
        <w:rPr>
          <w:noProof/>
        </w:rPr>
        <w:drawing>
          <wp:inline distT="0" distB="0" distL="0" distR="0" wp14:anchorId="3F1C59C7" wp14:editId="4542320B">
            <wp:extent cx="5819775" cy="4352707"/>
            <wp:effectExtent l="0" t="0" r="0" b="0"/>
            <wp:docPr id="525014366" name="Picture 5250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19775" cy="4352707"/>
                    </a:xfrm>
                    <a:prstGeom prst="rect">
                      <a:avLst/>
                    </a:prstGeom>
                  </pic:spPr>
                </pic:pic>
              </a:graphicData>
            </a:graphic>
          </wp:inline>
        </w:drawing>
      </w:r>
    </w:p>
    <w:p w14:paraId="7E22A348" w14:textId="6060301D" w:rsidR="068C2DDB" w:rsidRPr="00526981" w:rsidRDefault="15B41149" w:rsidP="15B41149">
      <w:pPr>
        <w:pStyle w:val="Caption"/>
        <w:rPr>
          <w:i w:val="0"/>
          <w:iCs w:val="0"/>
          <w:color w:val="auto"/>
        </w:rPr>
      </w:pPr>
      <w:bookmarkStart w:id="2" w:name="_Ref90014918"/>
      <w:r w:rsidRPr="00526981">
        <w:rPr>
          <w:b/>
          <w:bCs/>
          <w:i w:val="0"/>
          <w:iCs w:val="0"/>
          <w:color w:val="auto"/>
        </w:rPr>
        <w:t xml:space="preserve">Figure </w:t>
      </w:r>
      <w:r w:rsidR="068C2DDB" w:rsidRPr="00526981">
        <w:rPr>
          <w:b/>
          <w:bCs/>
          <w:i w:val="0"/>
          <w:iCs w:val="0"/>
          <w:color w:val="auto"/>
        </w:rPr>
        <w:fldChar w:fldCharType="begin"/>
      </w:r>
      <w:r w:rsidR="068C2DDB" w:rsidRPr="00526981">
        <w:rPr>
          <w:b/>
          <w:bCs/>
          <w:i w:val="0"/>
          <w:iCs w:val="0"/>
          <w:color w:val="auto"/>
        </w:rPr>
        <w:instrText xml:space="preserve"> SEQ Figure \* ARABIC </w:instrText>
      </w:r>
      <w:r w:rsidR="068C2DDB" w:rsidRPr="00526981">
        <w:rPr>
          <w:b/>
          <w:bCs/>
          <w:i w:val="0"/>
          <w:iCs w:val="0"/>
          <w:color w:val="auto"/>
        </w:rPr>
        <w:fldChar w:fldCharType="separate"/>
      </w:r>
      <w:r w:rsidR="00A60E2D" w:rsidRPr="00526981">
        <w:rPr>
          <w:b/>
          <w:bCs/>
          <w:i w:val="0"/>
          <w:iCs w:val="0"/>
          <w:noProof/>
          <w:color w:val="auto"/>
        </w:rPr>
        <w:t>1</w:t>
      </w:r>
      <w:r w:rsidR="068C2DDB" w:rsidRPr="00526981">
        <w:rPr>
          <w:b/>
          <w:bCs/>
          <w:i w:val="0"/>
          <w:iCs w:val="0"/>
          <w:color w:val="auto"/>
        </w:rPr>
        <w:fldChar w:fldCharType="end"/>
      </w:r>
      <w:bookmarkEnd w:id="2"/>
      <w:r w:rsidRPr="00526981">
        <w:rPr>
          <w:b/>
          <w:bCs/>
          <w:i w:val="0"/>
          <w:iCs w:val="0"/>
          <w:color w:val="auto"/>
        </w:rPr>
        <w:t>.  Schematic floorplan of the 23</w:t>
      </w:r>
      <w:r w:rsidRPr="00526981">
        <w:rPr>
          <w:b/>
          <w:bCs/>
          <w:i w:val="0"/>
          <w:iCs w:val="0"/>
          <w:color w:val="auto"/>
          <w:vertAlign w:val="superscript"/>
        </w:rPr>
        <w:t>rd</w:t>
      </w:r>
      <w:r w:rsidRPr="00526981">
        <w:rPr>
          <w:b/>
          <w:bCs/>
          <w:i w:val="0"/>
          <w:iCs w:val="0"/>
          <w:color w:val="auto"/>
        </w:rPr>
        <w:t xml:space="preserve"> floor including existing furniture layout and space type distribution. </w:t>
      </w:r>
    </w:p>
    <w:p w14:paraId="24131FAD" w14:textId="0355D198" w:rsidR="00D50538" w:rsidRDefault="28903F1D" w:rsidP="1B4CFE49">
      <w:pPr>
        <w:spacing w:line="257" w:lineRule="auto"/>
        <w:rPr>
          <w:rFonts w:ascii="Calibri" w:eastAsia="Calibri" w:hAnsi="Calibri" w:cs="Calibri"/>
        </w:rPr>
      </w:pPr>
      <w:r w:rsidRPr="202594A0">
        <w:rPr>
          <w:rFonts w:ascii="Calibri" w:eastAsia="Calibri" w:hAnsi="Calibri" w:cs="Calibri"/>
        </w:rPr>
        <w:t xml:space="preserve"> </w:t>
      </w:r>
    </w:p>
    <w:p w14:paraId="09095C0C" w14:textId="60274736" w:rsidR="28903F1D" w:rsidRDefault="0295F6D6" w:rsidP="328747C7">
      <w:pPr>
        <w:spacing w:line="257" w:lineRule="auto"/>
        <w:jc w:val="center"/>
      </w:pPr>
      <w:r>
        <w:rPr>
          <w:noProof/>
        </w:rPr>
        <w:drawing>
          <wp:inline distT="0" distB="0" distL="0" distR="0" wp14:anchorId="633D9E7F" wp14:editId="4EFF8C20">
            <wp:extent cx="2255519" cy="1691640"/>
            <wp:effectExtent l="0" t="0" r="0" b="3810"/>
            <wp:docPr id="1916076664" name="Picture 191607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076664"/>
                    <pic:cNvPicPr/>
                  </pic:nvPicPr>
                  <pic:blipFill>
                    <a:blip r:embed="rId16">
                      <a:extLst>
                        <a:ext uri="{28A0092B-C50C-407E-A947-70E740481C1C}">
                          <a14:useLocalDpi xmlns:a14="http://schemas.microsoft.com/office/drawing/2010/main" val="0"/>
                        </a:ext>
                      </a:extLst>
                    </a:blip>
                    <a:stretch>
                      <a:fillRect/>
                    </a:stretch>
                  </pic:blipFill>
                  <pic:spPr>
                    <a:xfrm>
                      <a:off x="0" y="0"/>
                      <a:ext cx="2255519" cy="1691640"/>
                    </a:xfrm>
                    <a:prstGeom prst="rect">
                      <a:avLst/>
                    </a:prstGeom>
                  </pic:spPr>
                </pic:pic>
              </a:graphicData>
            </a:graphic>
          </wp:inline>
        </w:drawing>
      </w:r>
      <w:r w:rsidR="00061A57">
        <w:rPr>
          <w:noProof/>
        </w:rPr>
        <w:t xml:space="preserve"> </w:t>
      </w:r>
      <w:r>
        <w:rPr>
          <w:noProof/>
        </w:rPr>
        <w:drawing>
          <wp:inline distT="0" distB="0" distL="0" distR="0" wp14:anchorId="7A804DAD" wp14:editId="21AE6F35">
            <wp:extent cx="2258060" cy="1693545"/>
            <wp:effectExtent l="0" t="0" r="8890" b="1905"/>
            <wp:docPr id="1497493554" name="Picture 149749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493554"/>
                    <pic:cNvPicPr/>
                  </pic:nvPicPr>
                  <pic:blipFill>
                    <a:blip r:embed="rId17">
                      <a:extLst>
                        <a:ext uri="{28A0092B-C50C-407E-A947-70E740481C1C}">
                          <a14:useLocalDpi xmlns:a14="http://schemas.microsoft.com/office/drawing/2010/main" val="0"/>
                        </a:ext>
                      </a:extLst>
                    </a:blip>
                    <a:stretch>
                      <a:fillRect/>
                    </a:stretch>
                  </pic:blipFill>
                  <pic:spPr>
                    <a:xfrm>
                      <a:off x="0" y="0"/>
                      <a:ext cx="2258060" cy="1693545"/>
                    </a:xfrm>
                    <a:prstGeom prst="rect">
                      <a:avLst/>
                    </a:prstGeom>
                  </pic:spPr>
                </pic:pic>
              </a:graphicData>
            </a:graphic>
          </wp:inline>
        </w:drawing>
      </w:r>
      <w:r w:rsidR="50D7380F">
        <w:t xml:space="preserve"> </w:t>
      </w:r>
      <w:r>
        <w:rPr>
          <w:noProof/>
        </w:rPr>
        <w:drawing>
          <wp:inline distT="0" distB="0" distL="0" distR="0" wp14:anchorId="2B40596A" wp14:editId="7B26A1C2">
            <wp:extent cx="1267777" cy="1690370"/>
            <wp:effectExtent l="0" t="0" r="8890" b="5080"/>
            <wp:docPr id="541226277" name="Picture 54122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26277"/>
                    <pic:cNvPicPr/>
                  </pic:nvPicPr>
                  <pic:blipFill>
                    <a:blip r:embed="rId18">
                      <a:extLst>
                        <a:ext uri="{28A0092B-C50C-407E-A947-70E740481C1C}">
                          <a14:useLocalDpi xmlns:a14="http://schemas.microsoft.com/office/drawing/2010/main" val="0"/>
                        </a:ext>
                      </a:extLst>
                    </a:blip>
                    <a:stretch>
                      <a:fillRect/>
                    </a:stretch>
                  </pic:blipFill>
                  <pic:spPr>
                    <a:xfrm>
                      <a:off x="0" y="0"/>
                      <a:ext cx="1267777" cy="1690370"/>
                    </a:xfrm>
                    <a:prstGeom prst="rect">
                      <a:avLst/>
                    </a:prstGeom>
                  </pic:spPr>
                </pic:pic>
              </a:graphicData>
            </a:graphic>
          </wp:inline>
        </w:drawing>
      </w:r>
    </w:p>
    <w:p w14:paraId="6A8EAA11" w14:textId="3A6E07F5" w:rsidR="28903F1D" w:rsidRPr="00526981" w:rsidRDefault="60914D32" w:rsidP="00A65F6C">
      <w:pPr>
        <w:pStyle w:val="Caption1"/>
        <w:keepNext/>
        <w:rPr>
          <w:sz w:val="18"/>
          <w:szCs w:val="18"/>
        </w:rPr>
      </w:pPr>
      <w:bookmarkStart w:id="3" w:name="_Ref90014570"/>
      <w:r w:rsidRPr="00526981">
        <w:rPr>
          <w:sz w:val="18"/>
          <w:szCs w:val="18"/>
        </w:rPr>
        <w:t xml:space="preserve">Figure </w:t>
      </w:r>
      <w:r w:rsidR="62CFBCB5" w:rsidRPr="00526981">
        <w:rPr>
          <w:sz w:val="18"/>
          <w:szCs w:val="18"/>
        </w:rPr>
        <w:fldChar w:fldCharType="begin"/>
      </w:r>
      <w:r w:rsidR="62CFBCB5" w:rsidRPr="00526981">
        <w:rPr>
          <w:sz w:val="18"/>
          <w:szCs w:val="18"/>
        </w:rPr>
        <w:instrText xml:space="preserve"> SEQ Figure \* ARABIC </w:instrText>
      </w:r>
      <w:r w:rsidR="62CFBCB5" w:rsidRPr="00526981">
        <w:rPr>
          <w:sz w:val="18"/>
          <w:szCs w:val="18"/>
        </w:rPr>
        <w:fldChar w:fldCharType="separate"/>
      </w:r>
      <w:r w:rsidR="00A60E2D" w:rsidRPr="00526981">
        <w:rPr>
          <w:noProof/>
          <w:sz w:val="18"/>
          <w:szCs w:val="18"/>
        </w:rPr>
        <w:t>2</w:t>
      </w:r>
      <w:r w:rsidR="62CFBCB5" w:rsidRPr="00526981">
        <w:rPr>
          <w:sz w:val="18"/>
          <w:szCs w:val="18"/>
        </w:rPr>
        <w:fldChar w:fldCharType="end"/>
      </w:r>
      <w:bookmarkEnd w:id="3"/>
      <w:r w:rsidRPr="00526981">
        <w:rPr>
          <w:sz w:val="18"/>
          <w:szCs w:val="18"/>
        </w:rPr>
        <w:t xml:space="preserve">. Existing furniture and </w:t>
      </w:r>
      <w:r w:rsidR="56D8D8F3" w:rsidRPr="00526981">
        <w:rPr>
          <w:sz w:val="18"/>
          <w:szCs w:val="18"/>
        </w:rPr>
        <w:t xml:space="preserve">electric </w:t>
      </w:r>
      <w:r w:rsidRPr="00526981">
        <w:rPr>
          <w:sz w:val="18"/>
          <w:szCs w:val="18"/>
        </w:rPr>
        <w:t>lighting layout f</w:t>
      </w:r>
      <w:r w:rsidR="73129470" w:rsidRPr="00526981">
        <w:rPr>
          <w:sz w:val="18"/>
          <w:szCs w:val="18"/>
        </w:rPr>
        <w:t>or t</w:t>
      </w:r>
      <w:r w:rsidRPr="00526981">
        <w:rPr>
          <w:sz w:val="18"/>
          <w:szCs w:val="18"/>
        </w:rPr>
        <w:t>he 23</w:t>
      </w:r>
      <w:r w:rsidRPr="00526981">
        <w:rPr>
          <w:sz w:val="18"/>
          <w:szCs w:val="18"/>
          <w:vertAlign w:val="superscript"/>
        </w:rPr>
        <w:t>rd</w:t>
      </w:r>
      <w:r w:rsidRPr="00526981">
        <w:rPr>
          <w:sz w:val="18"/>
          <w:szCs w:val="18"/>
        </w:rPr>
        <w:t xml:space="preserve"> floor open office </w:t>
      </w:r>
      <w:r w:rsidR="14D464FC" w:rsidRPr="00526981">
        <w:rPr>
          <w:sz w:val="18"/>
          <w:szCs w:val="18"/>
        </w:rPr>
        <w:t>(left, center) a</w:t>
      </w:r>
      <w:r w:rsidR="173038D1" w:rsidRPr="00526981">
        <w:rPr>
          <w:sz w:val="18"/>
          <w:szCs w:val="18"/>
        </w:rPr>
        <w:t xml:space="preserve">nd private offices (right). </w:t>
      </w:r>
    </w:p>
    <w:p w14:paraId="2FB97718" w14:textId="6560BB8B" w:rsidR="00D50538" w:rsidRDefault="74179DD9" w:rsidP="27C61343">
      <w:pPr>
        <w:spacing w:line="257" w:lineRule="auto"/>
        <w:rPr>
          <w:rFonts w:ascii="Calibri" w:eastAsia="Calibri" w:hAnsi="Calibri" w:cs="Calibri"/>
        </w:rPr>
      </w:pPr>
      <w:r w:rsidRPr="1E3904C6">
        <w:rPr>
          <w:rFonts w:ascii="Calibri" w:eastAsia="Calibri" w:hAnsi="Calibri" w:cs="Calibri"/>
        </w:rPr>
        <w:t xml:space="preserve">The existing lighting system of the </w:t>
      </w:r>
      <w:r w:rsidR="00A02ABA">
        <w:rPr>
          <w:rFonts w:ascii="Calibri" w:eastAsia="Calibri" w:hAnsi="Calibri" w:cs="Calibri"/>
        </w:rPr>
        <w:t>two office</w:t>
      </w:r>
      <w:r w:rsidRPr="1E3904C6">
        <w:rPr>
          <w:rFonts w:ascii="Calibri" w:eastAsia="Calibri" w:hAnsi="Calibri" w:cs="Calibri"/>
        </w:rPr>
        <w:t xml:space="preserve"> floors consisted of 2 ft by 4 ft parabolic reflector fluorescent troffers retrofitted with TLED lamps in a correlated color temperature (CCT) of 4000 K.  The luminaires were arranged in a grid with 8 ft spacing in both the open office and private offices. This arrangement resulted in </w:t>
      </w:r>
      <w:r w:rsidR="047AD493" w:rsidRPr="1E3904C6">
        <w:rPr>
          <w:rFonts w:ascii="Calibri" w:eastAsia="Calibri" w:hAnsi="Calibri" w:cs="Calibri"/>
        </w:rPr>
        <w:t>consistently</w:t>
      </w:r>
      <w:r w:rsidR="5ED5BCB3" w:rsidRPr="1E3904C6">
        <w:rPr>
          <w:rFonts w:ascii="Calibri" w:eastAsia="Calibri" w:hAnsi="Calibri" w:cs="Calibri"/>
        </w:rPr>
        <w:t xml:space="preserve"> </w:t>
      </w:r>
      <w:r w:rsidRPr="1E3904C6">
        <w:rPr>
          <w:rFonts w:ascii="Calibri" w:eastAsia="Calibri" w:hAnsi="Calibri" w:cs="Calibri"/>
        </w:rPr>
        <w:t xml:space="preserve">high horizontal illuminance levels </w:t>
      </w:r>
      <w:r w:rsidR="5ED5BCB3" w:rsidRPr="1E3904C6">
        <w:rPr>
          <w:rFonts w:ascii="Calibri" w:eastAsia="Calibri" w:hAnsi="Calibri" w:cs="Calibri"/>
        </w:rPr>
        <w:t>o</w:t>
      </w:r>
      <w:r w:rsidR="5DE00325" w:rsidRPr="1E3904C6">
        <w:rPr>
          <w:rFonts w:ascii="Calibri" w:eastAsia="Calibri" w:hAnsi="Calibri" w:cs="Calibri"/>
        </w:rPr>
        <w:t>ver</w:t>
      </w:r>
      <w:r w:rsidRPr="1E3904C6">
        <w:rPr>
          <w:rFonts w:ascii="Calibri" w:eastAsia="Calibri" w:hAnsi="Calibri" w:cs="Calibri"/>
        </w:rPr>
        <w:t xml:space="preserve"> 600 lux on </w:t>
      </w:r>
      <w:r w:rsidR="42F29296" w:rsidRPr="1E3904C6">
        <w:rPr>
          <w:rFonts w:ascii="Calibri" w:eastAsia="Calibri" w:hAnsi="Calibri" w:cs="Calibri"/>
        </w:rPr>
        <w:t xml:space="preserve">desk </w:t>
      </w:r>
      <w:r w:rsidRPr="1E3904C6">
        <w:rPr>
          <w:rFonts w:ascii="Calibri" w:eastAsia="Calibri" w:hAnsi="Calibri" w:cs="Calibri"/>
        </w:rPr>
        <w:t>work planes, well exceeding IES recommendations for office tasks,</w:t>
      </w:r>
      <w:r w:rsidR="33320FFD" w:rsidRPr="33320FFD">
        <w:rPr>
          <w:rFonts w:ascii="Calibri" w:eastAsia="Calibri" w:hAnsi="Calibri" w:cs="Calibri"/>
        </w:rPr>
        <w:t xml:space="preserve"> though not unusual for </w:t>
      </w:r>
      <w:r w:rsidR="1A86605A" w:rsidRPr="719ED59E">
        <w:rPr>
          <w:rFonts w:ascii="Calibri" w:eastAsia="Calibri" w:hAnsi="Calibri" w:cs="Calibri"/>
        </w:rPr>
        <w:t xml:space="preserve">a traditional </w:t>
      </w:r>
      <w:r w:rsidR="6F940FC1" w:rsidRPr="719ED59E">
        <w:rPr>
          <w:rFonts w:ascii="Calibri" w:eastAsia="Calibri" w:hAnsi="Calibri" w:cs="Calibri"/>
        </w:rPr>
        <w:t>work</w:t>
      </w:r>
      <w:r w:rsidR="2A088056" w:rsidRPr="719ED59E">
        <w:rPr>
          <w:rFonts w:ascii="Calibri" w:eastAsia="Calibri" w:hAnsi="Calibri" w:cs="Calibri"/>
        </w:rPr>
        <w:t xml:space="preserve"> environment</w:t>
      </w:r>
      <w:r w:rsidR="33320FFD" w:rsidRPr="33320FFD">
        <w:rPr>
          <w:rFonts w:ascii="Calibri" w:eastAsia="Calibri" w:hAnsi="Calibri" w:cs="Calibri"/>
        </w:rPr>
        <w:t>. Vertical illumination levels varied widely depending on the location in the office,  with an average of about 200 lux</w:t>
      </w:r>
      <w:r w:rsidR="77694B66" w:rsidRPr="4B9FAB16">
        <w:rPr>
          <w:rFonts w:ascii="Calibri" w:eastAsia="Calibri" w:hAnsi="Calibri" w:cs="Calibri"/>
        </w:rPr>
        <w:t>, ranging from 60 to 330 lux</w:t>
      </w:r>
      <w:r w:rsidR="33320FFD" w:rsidRPr="2D7D2247">
        <w:rPr>
          <w:rStyle w:val="FootnoteReference"/>
          <w:rFonts w:ascii="Calibri" w:eastAsia="Calibri" w:hAnsi="Calibri" w:cs="Calibri"/>
        </w:rPr>
        <w:footnoteReference w:id="2"/>
      </w:r>
      <w:r w:rsidR="6F940FC1" w:rsidRPr="5E1606D2">
        <w:rPr>
          <w:rFonts w:ascii="Calibri" w:eastAsia="Calibri" w:hAnsi="Calibri" w:cs="Calibri"/>
        </w:rPr>
        <w:t>.</w:t>
      </w:r>
      <w:r w:rsidR="33320FFD" w:rsidRPr="33320FFD">
        <w:rPr>
          <w:rFonts w:ascii="Calibri" w:eastAsia="Calibri" w:hAnsi="Calibri" w:cs="Calibri"/>
        </w:rPr>
        <w:t xml:space="preserve"> </w:t>
      </w:r>
    </w:p>
    <w:p w14:paraId="3C47612C" w14:textId="7810DF8A" w:rsidR="00D50538" w:rsidRDefault="27C61343" w:rsidP="27C61343">
      <w:pPr>
        <w:spacing w:line="257" w:lineRule="auto"/>
        <w:rPr>
          <w:rFonts w:ascii="Calibri" w:eastAsia="Calibri" w:hAnsi="Calibri" w:cs="Calibri"/>
        </w:rPr>
      </w:pPr>
      <w:r w:rsidRPr="27C61343">
        <w:rPr>
          <w:rFonts w:ascii="Calibri" w:eastAsia="Calibri" w:hAnsi="Calibri" w:cs="Calibri"/>
        </w:rPr>
        <w:t xml:space="preserve">Cook County initiated this project to further understand how lighting could better support the well-being of its employees and planned to use the results to inform their internal lighting standards, </w:t>
      </w:r>
      <w:r w:rsidR="00A65F6C">
        <w:rPr>
          <w:rFonts w:ascii="Calibri" w:eastAsia="Calibri" w:hAnsi="Calibri" w:cs="Calibri"/>
        </w:rPr>
        <w:t xml:space="preserve">and </w:t>
      </w:r>
      <w:r w:rsidRPr="27C61343">
        <w:rPr>
          <w:rFonts w:ascii="Calibri" w:eastAsia="Calibri" w:hAnsi="Calibri" w:cs="Calibri"/>
        </w:rPr>
        <w:t xml:space="preserve">make a broader contribution to office lighting research. The design team was charged not only to develop an advanced </w:t>
      </w:r>
      <w:r w:rsidR="3EA75DF7" w:rsidRPr="210C0BBC">
        <w:rPr>
          <w:rFonts w:ascii="Calibri" w:eastAsia="Calibri" w:hAnsi="Calibri" w:cs="Calibri"/>
        </w:rPr>
        <w:t>tunable</w:t>
      </w:r>
      <w:r w:rsidRPr="01A9194F">
        <w:rPr>
          <w:rFonts w:ascii="Calibri" w:eastAsia="Calibri" w:hAnsi="Calibri" w:cs="Calibri"/>
        </w:rPr>
        <w:t xml:space="preserve"> </w:t>
      </w:r>
      <w:r w:rsidRPr="27C61343">
        <w:rPr>
          <w:rFonts w:ascii="Calibri" w:eastAsia="Calibri" w:hAnsi="Calibri" w:cs="Calibri"/>
        </w:rPr>
        <w:t xml:space="preserve">lighting system that would demonstrate a sustainable, evidence-based lighting design for the Circadian </w:t>
      </w:r>
      <w:r w:rsidR="00A02ABA">
        <w:rPr>
          <w:rFonts w:ascii="Calibri" w:eastAsia="Calibri" w:hAnsi="Calibri" w:cs="Calibri"/>
        </w:rPr>
        <w:t xml:space="preserve">Lighting </w:t>
      </w:r>
      <w:r w:rsidRPr="27C61343">
        <w:rPr>
          <w:rFonts w:ascii="Calibri" w:eastAsia="Calibri" w:hAnsi="Calibri" w:cs="Calibri"/>
        </w:rPr>
        <w:t xml:space="preserve">Pilot Project, but also turn the county’s typical office space into a modern, appealing workplace for current and perspective employees. Although initiated as a lighting focused project, JLK Architects and WMA Engineering were included in the design team to address any architectural or engineering modifications needed to achieve the project’s human-centered and sustainability goals. PNNL spearheaded development of the yearlong research study to </w:t>
      </w:r>
      <w:r w:rsidR="370853F9" w:rsidRPr="719ED59E">
        <w:rPr>
          <w:rFonts w:ascii="Calibri" w:eastAsia="Calibri" w:hAnsi="Calibri" w:cs="Calibri"/>
        </w:rPr>
        <w:t>understand</w:t>
      </w:r>
      <w:r w:rsidR="00FA2A50">
        <w:rPr>
          <w:rFonts w:ascii="Calibri" w:eastAsia="Calibri" w:hAnsi="Calibri" w:cs="Calibri"/>
        </w:rPr>
        <w:t xml:space="preserve"> employee response to different lighting conditions</w:t>
      </w:r>
      <w:r w:rsidRPr="27C61343">
        <w:rPr>
          <w:rFonts w:ascii="Calibri" w:eastAsia="Calibri" w:hAnsi="Calibri" w:cs="Calibri"/>
        </w:rPr>
        <w:t>.</w:t>
      </w:r>
    </w:p>
    <w:p w14:paraId="037747ED" w14:textId="4457B95F" w:rsidR="00D50538" w:rsidRDefault="33320FFD" w:rsidP="1B4CFE49">
      <w:pPr>
        <w:spacing w:line="257" w:lineRule="auto"/>
        <w:rPr>
          <w:rFonts w:ascii="Calibri" w:eastAsia="Calibri" w:hAnsi="Calibri" w:cs="Calibri"/>
        </w:rPr>
      </w:pPr>
      <w:r w:rsidRPr="33320FFD">
        <w:rPr>
          <w:rFonts w:ascii="Calibri" w:eastAsia="Calibri" w:hAnsi="Calibri" w:cs="Calibri"/>
        </w:rPr>
        <w:t xml:space="preserve">In order to create a design standard for happy, healthy, </w:t>
      </w:r>
      <w:r w:rsidR="00FA2A50">
        <w:rPr>
          <w:rFonts w:ascii="Calibri" w:eastAsia="Calibri" w:hAnsi="Calibri" w:cs="Calibri"/>
        </w:rPr>
        <w:t xml:space="preserve">and </w:t>
      </w:r>
      <w:r w:rsidRPr="33320FFD">
        <w:rPr>
          <w:rFonts w:ascii="Calibri" w:eastAsia="Calibri" w:hAnsi="Calibri" w:cs="Calibri"/>
        </w:rPr>
        <w:t>motivated employees, not only did Cook County and the design team want to provide a circadian supportive design that was environmentally conscious</w:t>
      </w:r>
      <w:r w:rsidR="638A5C31" w:rsidRPr="447C3AC4">
        <w:rPr>
          <w:rFonts w:ascii="Calibri" w:eastAsia="Calibri" w:hAnsi="Calibri" w:cs="Calibri"/>
        </w:rPr>
        <w:t xml:space="preserve"> with</w:t>
      </w:r>
      <w:r w:rsidRPr="33320FFD">
        <w:rPr>
          <w:rFonts w:ascii="Calibri" w:eastAsia="Calibri" w:hAnsi="Calibri" w:cs="Calibri"/>
        </w:rPr>
        <w:t xml:space="preserve"> a modern lighting design. As a result, </w:t>
      </w:r>
      <w:r w:rsidR="00FA2A50" w:rsidRPr="447C3AC4">
        <w:rPr>
          <w:rFonts w:ascii="Calibri" w:eastAsia="Calibri" w:hAnsi="Calibri" w:cs="Calibri"/>
        </w:rPr>
        <w:t xml:space="preserve">that </w:t>
      </w:r>
      <w:r w:rsidR="00FA2A50">
        <w:rPr>
          <w:rFonts w:ascii="Calibri" w:eastAsia="Calibri" w:hAnsi="Calibri" w:cs="Calibri"/>
        </w:rPr>
        <w:t>the design team sought to find</w:t>
      </w:r>
      <w:r w:rsidRPr="33320FFD">
        <w:rPr>
          <w:rFonts w:ascii="Calibri" w:eastAsia="Calibri" w:hAnsi="Calibri" w:cs="Calibri"/>
        </w:rPr>
        <w:t xml:space="preserve"> </w:t>
      </w:r>
      <w:r w:rsidR="2A1301CF" w:rsidRPr="3204E978">
        <w:rPr>
          <w:rFonts w:ascii="Calibri" w:eastAsia="Calibri" w:hAnsi="Calibri" w:cs="Calibri"/>
        </w:rPr>
        <w:t xml:space="preserve">tunable </w:t>
      </w:r>
      <w:r w:rsidR="3F8E6E77" w:rsidRPr="3204E978">
        <w:rPr>
          <w:rFonts w:ascii="Calibri" w:eastAsia="Calibri" w:hAnsi="Calibri" w:cs="Calibri"/>
        </w:rPr>
        <w:t>luminaires</w:t>
      </w:r>
      <w:r w:rsidR="00FA2A50">
        <w:rPr>
          <w:rFonts w:ascii="Calibri" w:eastAsia="Calibri" w:hAnsi="Calibri" w:cs="Calibri"/>
        </w:rPr>
        <w:t xml:space="preserve"> that</w:t>
      </w:r>
      <w:r w:rsidRPr="33320FFD">
        <w:rPr>
          <w:rFonts w:ascii="Calibri" w:eastAsia="Calibri" w:hAnsi="Calibri" w:cs="Calibri"/>
        </w:rPr>
        <w:t xml:space="preserve"> provided comfortable source brightness, delivered light levels that were not noticeably high, and </w:t>
      </w:r>
      <w:r w:rsidR="00A02ABA">
        <w:rPr>
          <w:rFonts w:ascii="Calibri" w:eastAsia="Calibri" w:hAnsi="Calibri" w:cs="Calibri"/>
        </w:rPr>
        <w:t xml:space="preserve">that provided </w:t>
      </w:r>
      <w:r w:rsidRPr="33320FFD">
        <w:rPr>
          <w:rFonts w:ascii="Calibri" w:eastAsia="Calibri" w:hAnsi="Calibri" w:cs="Calibri"/>
        </w:rPr>
        <w:t xml:space="preserve">warm color temperatures appropriate to the interior environment could also be achieved in the design. In addition, the lighting design team aimed to embrace modern LED technology, avoiding dated </w:t>
      </w:r>
      <w:r w:rsidR="00244635" w:rsidRPr="447C3AC4">
        <w:rPr>
          <w:rFonts w:ascii="Calibri" w:eastAsia="Calibri" w:hAnsi="Calibri" w:cs="Calibri"/>
        </w:rPr>
        <w:t>luminaire</w:t>
      </w:r>
      <w:r w:rsidRPr="33320FFD">
        <w:rPr>
          <w:rFonts w:ascii="Calibri" w:eastAsia="Calibri" w:hAnsi="Calibri" w:cs="Calibri"/>
        </w:rPr>
        <w:t xml:space="preserve"> form-factors, such as troffers.  </w:t>
      </w:r>
    </w:p>
    <w:p w14:paraId="6CCB7585" w14:textId="273BDE6D" w:rsidR="00D50538" w:rsidRDefault="6AD07C49" w:rsidP="1B4CFE49">
      <w:pPr>
        <w:spacing w:line="257" w:lineRule="auto"/>
        <w:rPr>
          <w:rFonts w:ascii="Calibri" w:eastAsia="Calibri" w:hAnsi="Calibri" w:cs="Calibri"/>
        </w:rPr>
      </w:pPr>
      <w:r w:rsidRPr="6AD07C49">
        <w:rPr>
          <w:rFonts w:ascii="Calibri" w:eastAsia="Calibri" w:hAnsi="Calibri" w:cs="Calibri"/>
        </w:rPr>
        <w:t xml:space="preserve">The pilot evaluation required </w:t>
      </w:r>
      <w:r w:rsidR="00244635">
        <w:rPr>
          <w:rFonts w:ascii="Calibri" w:eastAsia="Calibri" w:hAnsi="Calibri" w:cs="Calibri"/>
        </w:rPr>
        <w:t xml:space="preserve">an </w:t>
      </w:r>
      <w:r w:rsidRPr="6AD07C49">
        <w:rPr>
          <w:rFonts w:ascii="Calibri" w:eastAsia="Calibri" w:hAnsi="Calibri" w:cs="Calibri"/>
        </w:rPr>
        <w:t xml:space="preserve">advanced lighting </w:t>
      </w:r>
      <w:r w:rsidR="00244635" w:rsidRPr="58DDA1EB">
        <w:rPr>
          <w:rFonts w:ascii="Calibri" w:eastAsia="Calibri" w:hAnsi="Calibri" w:cs="Calibri"/>
        </w:rPr>
        <w:t>system</w:t>
      </w:r>
      <w:r w:rsidRPr="58DDA1EB">
        <w:rPr>
          <w:rFonts w:ascii="Calibri" w:eastAsia="Calibri" w:hAnsi="Calibri" w:cs="Calibri"/>
        </w:rPr>
        <w:t xml:space="preserve"> </w:t>
      </w:r>
      <w:r w:rsidRPr="6AD07C49">
        <w:rPr>
          <w:rFonts w:ascii="Calibri" w:eastAsia="Calibri" w:hAnsi="Calibri" w:cs="Calibri"/>
        </w:rPr>
        <w:t>to</w:t>
      </w:r>
      <w:r w:rsidR="00244635">
        <w:rPr>
          <w:rFonts w:ascii="Calibri" w:eastAsia="Calibri" w:hAnsi="Calibri" w:cs="Calibri"/>
        </w:rPr>
        <w:t xml:space="preserve"> seamlessly</w:t>
      </w:r>
      <w:r w:rsidRPr="6AD07C49">
        <w:rPr>
          <w:rFonts w:ascii="Calibri" w:eastAsia="Calibri" w:hAnsi="Calibri" w:cs="Calibri"/>
        </w:rPr>
        <w:t xml:space="preserve"> </w:t>
      </w:r>
      <w:r w:rsidR="00244635" w:rsidRPr="58DDA1EB">
        <w:rPr>
          <w:rFonts w:ascii="Calibri" w:eastAsia="Calibri" w:hAnsi="Calibri" w:cs="Calibri"/>
        </w:rPr>
        <w:t>study</w:t>
      </w:r>
      <w:r w:rsidRPr="6AD07C49">
        <w:rPr>
          <w:rFonts w:ascii="Calibri" w:eastAsia="Calibri" w:hAnsi="Calibri" w:cs="Calibri"/>
        </w:rPr>
        <w:t xml:space="preserve"> the potential electric lighting effects on the occupants as well as their preferences. The design team approached the project with the goal of creating a visually appealing lighting system that would meet industry standards for glare, circadian entrainment, appropriate task illumination levels, and color quality, as well as optimizing user control and minimizing energy use. As a result, the system would be tasked with meeting numerous current lighting industry standards and recommendations for visual and non-visual health, such as the WELL Building Standard, LEED, and the 2018 </w:t>
      </w:r>
      <w:r w:rsidRPr="58DDA1EB">
        <w:rPr>
          <w:rFonts w:ascii="Calibri" w:eastAsia="Calibri" w:hAnsi="Calibri" w:cs="Calibri"/>
        </w:rPr>
        <w:t>IECC</w:t>
      </w:r>
      <w:r w:rsidR="6052BB6F" w:rsidRPr="58DDA1EB">
        <w:rPr>
          <w:rFonts w:ascii="Calibri" w:eastAsia="Calibri" w:hAnsi="Calibri" w:cs="Calibri"/>
        </w:rPr>
        <w:t xml:space="preserve"> requirements.</w:t>
      </w:r>
      <w:r w:rsidRPr="58DDA1EB">
        <w:rPr>
          <w:rFonts w:ascii="Calibri" w:eastAsia="Calibri" w:hAnsi="Calibri" w:cs="Calibri"/>
        </w:rPr>
        <w:t xml:space="preserve">  </w:t>
      </w:r>
    </w:p>
    <w:p w14:paraId="4D0F8876" w14:textId="175C0E54" w:rsidR="00D50538" w:rsidRDefault="00D50538" w:rsidP="00D50538">
      <w:pPr>
        <w:pStyle w:val="Heading1"/>
        <w:tabs>
          <w:tab w:val="center" w:pos="4680"/>
        </w:tabs>
      </w:pPr>
      <w:r>
        <w:t>State of the Industry</w:t>
      </w:r>
    </w:p>
    <w:p w14:paraId="2C85AD7A" w14:textId="4EF0FA16" w:rsidR="008D6CEF" w:rsidRPr="0048342E" w:rsidRDefault="6E92F5D9" w:rsidP="6E92F5D9">
      <w:pPr>
        <w:pStyle w:val="Heading2"/>
        <w:rPr>
          <w:rFonts w:ascii="Calibri Light" w:hAnsi="Calibri Light"/>
          <w:b/>
          <w:bCs/>
        </w:rPr>
      </w:pPr>
      <w:r>
        <w:t>Circadian Lighting Metrics</w:t>
      </w:r>
    </w:p>
    <w:p w14:paraId="1F5CFE02" w14:textId="1FCD948B" w:rsidR="008D6CEF" w:rsidRPr="00506C83" w:rsidRDefault="6AD07C49" w:rsidP="1B4CFE49">
      <w:r>
        <w:t>Emerging evidence from the medical research community has linked lighting to physiological responses including circadian synchronization, mood</w:t>
      </w:r>
      <w:r w:rsidR="00A02ABA">
        <w:t>,</w:t>
      </w:r>
      <w:r>
        <w:t xml:space="preserve"> and acute alerting effects. Research over the past 20 years has demonstrated that these responses have spectral sensitivities that differ from the visual system, leading to new circadian metrics to quantify the potential effects of light. The three most common circadian metrics are: equivalent melanopic lux (EML, units of m-lux), circadian stimulus (CS, unitless), and the more recent melanopic equivalent daylight illuminance (M-EDI, units of lux). These metrics weight </w:t>
      </w:r>
      <w:r w:rsidRPr="00506C83">
        <w:t xml:space="preserve">the spectrum of light using different weighting functions and incorporate light intensity as a scaling factor. The EML and M-EDI metrics are based on the melanopic response of the intrinsically photosensitive retinal ganglion cells </w:t>
      </w:r>
      <w:r w:rsidR="00DD7004">
        <w:fldChar w:fldCharType="begin">
          <w:fldData xml:space="preserve">PEVuZE5vdGU+PENpdGU+PEF1dGhvcj5MdWNhczwvQXV0aG9yPjxZZWFyPjIwMTQ8L1llYXI+PFJl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</w:fldData>
        </w:fldChar>
      </w:r>
      <w:r w:rsidR="008446D6">
        <w:instrText xml:space="preserve"> ADDIN EN.CITE </w:instrText>
      </w:r>
      <w:r w:rsidR="008446D6">
        <w:fldChar w:fldCharType="begin">
          <w:fldData xml:space="preserve">PEVuZE5vdGU+PENpdGU+PEF1dGhvcj5MdWNhczwvQXV0aG9yPjxZZWFyPjIwMTQ8L1llYXI+PFJl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</w:fldData>
        </w:fldChar>
      </w:r>
      <w:r w:rsidR="008446D6">
        <w:instrText xml:space="preserve"> ADDIN EN.CITE.DATA </w:instrText>
      </w:r>
      <w:r w:rsidR="008446D6">
        <w:fldChar w:fldCharType="end"/>
      </w:r>
      <w:r w:rsidR="00DD7004">
        <w:fldChar w:fldCharType="separate"/>
      </w:r>
      <w:r w:rsidR="008446D6">
        <w:rPr>
          <w:noProof/>
        </w:rPr>
        <w:t>(Lucas, Peirson et al. 2014)</w:t>
      </w:r>
      <w:r w:rsidR="00DD7004">
        <w:fldChar w:fldCharType="end"/>
      </w:r>
      <w:r w:rsidR="00DD7004">
        <w:t xml:space="preserve"> </w:t>
      </w:r>
      <w:r w:rsidRPr="00506C83">
        <w:t>with a peak response at 480 nm, with the only difference being the reference source of equal energy and D65, respectively. It is possible to convert between EML and M-EDI using a scalar multiplier (EML</w:t>
      </w:r>
      <w:r w:rsidRPr="00506C83">
        <w:rPr>
          <w:rFonts w:ascii="Calibri" w:eastAsia="Calibri" w:hAnsi="Calibri" w:cs="Calibri"/>
          <w:color w:val="000000" w:themeColor="text1"/>
          <w:sz w:val="21"/>
          <w:szCs w:val="21"/>
        </w:rPr>
        <w:t xml:space="preserve"> ≈ M-EDI x 1.103).</w:t>
      </w:r>
      <w:r w:rsidRPr="00506C83">
        <w:t xml:space="preserve"> The CS metric is the calculated effectiveness of light at suppressing melatonin, using a more complex model of human phototransduction, including data from human melatonin suppression experiments combined with estimates of rod and cone photoreceptor responses</w:t>
      </w:r>
      <w:r w:rsidR="003A6750" w:rsidRPr="00506C83">
        <w:t>, with this model most recently updated in 2021</w:t>
      </w:r>
      <w:r w:rsidR="00DD7004">
        <w:t xml:space="preserve"> </w:t>
      </w:r>
      <w:r w:rsidR="00DD7004">
        <w:fldChar w:fldCharType="begin">
          <w:fldData xml:space="preserve">PEVuZE5vdGU+PENpdGU+PEF1dGhvcj5SZWE8L0F1dGhvcj48WWVhcj4yMDE4PC9ZZWFyPjxSZWNO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</w:fldData>
        </w:fldChar>
      </w:r>
      <w:r w:rsidR="008446D6">
        <w:instrText xml:space="preserve"> ADDIN EN.CITE </w:instrText>
      </w:r>
      <w:r w:rsidR="008446D6">
        <w:fldChar w:fldCharType="begin">
          <w:fldData xml:space="preserve">PEVuZE5vdGU+PENpdGU+PEF1dGhvcj5SZWE8L0F1dGhvcj48WWVhcj4yMDE4PC9ZZWFyPjxSZWNO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</w:fldData>
        </w:fldChar>
      </w:r>
      <w:r w:rsidR="008446D6">
        <w:instrText xml:space="preserve"> ADDIN EN.CITE.DATA </w:instrText>
      </w:r>
      <w:r w:rsidR="008446D6">
        <w:fldChar w:fldCharType="end"/>
      </w:r>
      <w:r w:rsidR="00DD7004">
        <w:fldChar w:fldCharType="separate"/>
      </w:r>
      <w:r w:rsidR="008446D6">
        <w:rPr>
          <w:noProof/>
        </w:rPr>
        <w:t>(Rea and Figueiro 2018, Rea, Nagare et al. 2021)</w:t>
      </w:r>
      <w:r w:rsidR="00DD7004">
        <w:fldChar w:fldCharType="end"/>
      </w:r>
      <w:r w:rsidRPr="00506C83">
        <w:t>. EML was adopted in a slightly modified form to align with SI unit requirements by the International Commission on Illumination (CIE)</w:t>
      </w:r>
      <w:r w:rsidR="00DD7004">
        <w:t xml:space="preserve"> </w:t>
      </w:r>
      <w:r w:rsidR="00DD7004">
        <w:fldChar w:fldCharType="begin"/>
      </w:r>
      <w:r w:rsidR="00DD7004">
        <w:instrText xml:space="preserve"> ADDIN EN.CITE &lt;EndNote&gt;&lt;Cite&gt;&lt;Year&gt;2018&lt;/Year&gt;&lt;RecNum&gt;198&lt;/RecNum&gt;&lt;DisplayText&gt;(2018)&lt;/DisplayText&gt;&lt;record&gt;&lt;rec-number&gt;198&lt;/rec-number&gt;&lt;foreign-keys&gt;&lt;key app="EN" db-id="evaf9eed9pd5e0e59xtvdep80wxesd5tp2fp" timestamp="1640633742"&gt;198&lt;/key&gt;&lt;/foreign-keys&gt;&lt;ref-type name="Report"&gt;27&lt;/ref-type&gt;&lt;contributors&gt;&lt;/contributors&gt;&lt;titles&gt;&lt;title&gt;CIE SYSTEM FOR METROLOGY OF OPTICAL RADIATION FOR IPRGC-INFLUENCED RESPONSES TO LIGHT&lt;/title&gt;&lt;/titles&gt;&lt;dates&gt;&lt;year&gt;2018&lt;/year&gt;&lt;/dates&gt;&lt;publisher&gt;International Commission on Illumination (CIE)&lt;/publisher&gt;&lt;urls&gt;&lt;/urls&gt;&lt;electronic-resource-num&gt;10.25039/S026.2018&lt;/electronic-resource-num&gt;&lt;/record&gt;&lt;/Cite&gt;&lt;/EndNote&gt;</w:instrText>
      </w:r>
      <w:r w:rsidR="00DD7004">
        <w:fldChar w:fldCharType="separate"/>
      </w:r>
      <w:r w:rsidR="00DD7004">
        <w:rPr>
          <w:noProof/>
        </w:rPr>
        <w:t>(2018)</w:t>
      </w:r>
      <w:r w:rsidR="00DD7004">
        <w:fldChar w:fldCharType="end"/>
      </w:r>
      <w:r w:rsidRPr="00506C83">
        <w:t xml:space="preserve">. More recently, the CIE endorsed M-EDI. CS has not yet been adopted by CIE or the Illuminating Engineering Society (IES). </w:t>
      </w:r>
    </w:p>
    <w:p w14:paraId="570BA6A2" w14:textId="71E3B5EA" w:rsidR="36A2D053" w:rsidRPr="00506C83" w:rsidRDefault="6E92F5D9" w:rsidP="6E92F5D9">
      <w:pPr>
        <w:pStyle w:val="Heading2"/>
        <w:rPr>
          <w:rFonts w:ascii="Calibri Light" w:hAnsi="Calibri Light"/>
          <w:b/>
          <w:bCs/>
        </w:rPr>
      </w:pPr>
      <w:r w:rsidRPr="00506C83">
        <w:t>Design Recommendations</w:t>
      </w:r>
    </w:p>
    <w:p w14:paraId="37021DB8" w14:textId="3E10681E" w:rsidR="36A2D053" w:rsidRPr="00506C83" w:rsidRDefault="27C61343" w:rsidP="36A2D053">
      <w:pPr>
        <w:rPr>
          <w:rFonts w:eastAsiaTheme="minorEastAsia"/>
        </w:rPr>
      </w:pPr>
      <w:r w:rsidRPr="00506C83">
        <w:rPr>
          <w:rFonts w:ascii="Calibri" w:eastAsia="Calibri" w:hAnsi="Calibri" w:cs="Calibri"/>
        </w:rPr>
        <w:t xml:space="preserve">There are currently two organizations with documented recommendations for designing lighting to account for the human circadian system in offices: IWBI and UL. The </w:t>
      </w:r>
      <w:r w:rsidR="003A6750" w:rsidRPr="00506C83">
        <w:rPr>
          <w:rFonts w:ascii="Calibri" w:eastAsia="Calibri" w:hAnsi="Calibri" w:cs="Calibri"/>
        </w:rPr>
        <w:t xml:space="preserve">IWBI </w:t>
      </w:r>
      <w:r w:rsidRPr="00506C83">
        <w:rPr>
          <w:rFonts w:ascii="Calibri" w:eastAsia="Calibri" w:hAnsi="Calibri" w:cs="Calibri"/>
        </w:rPr>
        <w:t>WELL building</w:t>
      </w:r>
      <w:r w:rsidR="003A6750" w:rsidRPr="00506C83">
        <w:rPr>
          <w:rFonts w:ascii="Calibri" w:eastAsia="Calibri" w:hAnsi="Calibri" w:cs="Calibri"/>
        </w:rPr>
        <w:t xml:space="preserve"> recommendation</w:t>
      </w:r>
      <w:r w:rsidRPr="00506C83">
        <w:rPr>
          <w:rFonts w:ascii="Calibri" w:eastAsia="Calibri" w:hAnsi="Calibri" w:cs="Calibri"/>
        </w:rPr>
        <w:t xml:space="preserve"> framework consists of design features that cover multiple aspects of the built environment including water, materials, thermal comfort, and light</w:t>
      </w:r>
      <w:r w:rsidR="00DD7004">
        <w:rPr>
          <w:rFonts w:ascii="Calibri" w:eastAsia="Calibri" w:hAnsi="Calibri" w:cs="Calibri"/>
        </w:rPr>
        <w:t xml:space="preserve"> </w:t>
      </w:r>
      <w:r w:rsidR="00DD7004">
        <w:rPr>
          <w:rFonts w:ascii="Calibri" w:eastAsia="Calibri" w:hAnsi="Calibri" w:cs="Calibri"/>
        </w:rPr>
        <w:fldChar w:fldCharType="begin"/>
      </w:r>
      <w:r w:rsidR="00DD7004">
        <w:rPr>
          <w:rFonts w:ascii="Calibri" w:eastAsia="Calibri" w:hAnsi="Calibri" w:cs="Calibri"/>
        </w:rPr>
        <w:instrText xml:space="preserve"> ADDIN EN.CITE &lt;EndNote&gt;&lt;Cite&gt;&lt;Author&gt;IWBI&lt;/Author&gt;&lt;Year&gt;2020&lt;/Year&gt;&lt;RecNum&gt;149&lt;/RecNum&gt;&lt;DisplayText&gt;(IWBI 2020)&lt;/DisplayText&gt;&lt;record&gt;&lt;rec-number&gt;149&lt;/rec-number&gt;&lt;foreign-keys&gt;&lt;key app="EN" db-id="evaf9eed9pd5e0e59xtvdep80wxesd5tp2fp" timestamp="1577997917"&gt;149&lt;/key&gt;&lt;/foreign-keys&gt;&lt;ref-type name="Standard"&gt;58&lt;/ref-type&gt;&lt;contributors&gt;&lt;authors&gt;&lt;author&gt;IWBI &lt;/author&gt;&lt;/authors&gt;&lt;/contributors&gt;&lt;titles&gt;&lt;title&gt;WELL v2™&lt;/title&gt;&lt;/titles&gt;&lt;dates&gt;&lt;year&gt;2020&lt;/year&gt;&lt;/dates&gt;&lt;pub-location&gt;https://v2.wellcertified.com/en/wellv2/overview&lt;/pub-location&gt;&lt;publisher&gt;The International WELL Building Institute&lt;/publisher&gt;&lt;urls&gt;&lt;related-urls&gt;&lt;url&gt;https://v2.wellcertified.com/v/en/overview&lt;/url&gt;&lt;/related-urls&gt;&lt;/urls&gt;&lt;/record&gt;&lt;/Cite&gt;&lt;/EndNote&gt;</w:instrText>
      </w:r>
      <w:r w:rsidR="00DD7004">
        <w:rPr>
          <w:rFonts w:ascii="Calibri" w:eastAsia="Calibri" w:hAnsi="Calibri" w:cs="Calibri"/>
        </w:rPr>
        <w:fldChar w:fldCharType="separate"/>
      </w:r>
      <w:r w:rsidR="00DD7004">
        <w:rPr>
          <w:rFonts w:ascii="Calibri" w:eastAsia="Calibri" w:hAnsi="Calibri" w:cs="Calibri"/>
          <w:noProof/>
        </w:rPr>
        <w:t>(IWBI 2020)</w:t>
      </w:r>
      <w:r w:rsidR="00DD7004">
        <w:rPr>
          <w:rFonts w:ascii="Calibri" w:eastAsia="Calibri" w:hAnsi="Calibri" w:cs="Calibri"/>
        </w:rPr>
        <w:fldChar w:fldCharType="end"/>
      </w:r>
      <w:r w:rsidRPr="00506C83">
        <w:rPr>
          <w:rFonts w:ascii="Calibri" w:eastAsia="Calibri" w:hAnsi="Calibri" w:cs="Calibri"/>
        </w:rPr>
        <w:t>. Points can be earned toward WELL Certification by demonstrating various features have been met. In particular, up to</w:t>
      </w:r>
      <w:r w:rsidRPr="00506C83">
        <w:rPr>
          <w:rFonts w:eastAsiaTheme="minorEastAsia"/>
        </w:rPr>
        <w:t xml:space="preserve"> 3 points can be earned through the Circadian Lighting Design feature by demonstrating that electric lighting can be used to deliver varying thresholds of EML to all workstations in regularly occupied spaces for at least 4 hours. UL Design Guideline 24480</w:t>
      </w:r>
      <w:r w:rsidR="00DD7004">
        <w:rPr>
          <w:rFonts w:eastAsiaTheme="minorEastAsia"/>
        </w:rPr>
        <w:t xml:space="preserve"> </w:t>
      </w:r>
      <w:r w:rsidR="00D54573">
        <w:rPr>
          <w:rFonts w:eastAsiaTheme="minorEastAsia"/>
        </w:rPr>
        <w:fldChar w:fldCharType="begin"/>
      </w:r>
      <w:r w:rsidR="00D54573">
        <w:rPr>
          <w:rFonts w:eastAsiaTheme="minorEastAsia"/>
        </w:rPr>
        <w:instrText xml:space="preserve"> ADDIN EN.CITE &lt;EndNote&gt;&lt;Cite&gt;&lt;Author&gt;UL&lt;/Author&gt;&lt;Year&gt;2019&lt;/Year&gt;&lt;RecNum&gt;150&lt;/RecNum&gt;&lt;DisplayText&gt;(UL 2019)&lt;/DisplayText&gt;&lt;record&gt;&lt;rec-number&gt;150&lt;/rec-number&gt;&lt;foreign-keys&gt;&lt;key app="EN" db-id="evaf9eed9pd5e0e59xtvdep80wxesd5tp2fp" timestamp="1577998360"&gt;150&lt;/key&gt;&lt;/foreign-keys&gt;&lt;ref-type name="Standard"&gt;58&lt;/ref-type&gt;&lt;contributors&gt;&lt;authors&gt;&lt;author&gt;UL&lt;/author&gt;&lt;/authors&gt;&lt;/contributors&gt;&lt;titles&gt;&lt;title&gt;Recommended Practice and Design Guideline for Promoting Circadian Entrainment with Light for Day-Active People&lt;/title&gt;&lt;/titles&gt;&lt;dates&gt;&lt;year&gt;2019&lt;/year&gt;&lt;/dates&gt;&lt;isbn&gt;UL 24480 Ed. 1&lt;/isbn&gt;&lt;urls&gt;&lt;/urls&gt;&lt;/record&gt;&lt;/Cite&gt;&lt;/EndNote&gt;</w:instrText>
      </w:r>
      <w:r w:rsidR="00D54573">
        <w:rPr>
          <w:rFonts w:eastAsiaTheme="minorEastAsia"/>
        </w:rPr>
        <w:fldChar w:fldCharType="separate"/>
      </w:r>
      <w:r w:rsidR="00D54573">
        <w:rPr>
          <w:rFonts w:eastAsiaTheme="minorEastAsia"/>
          <w:noProof/>
        </w:rPr>
        <w:t>(UL 2019)</w:t>
      </w:r>
      <w:r w:rsidR="00D54573">
        <w:rPr>
          <w:rFonts w:eastAsiaTheme="minorEastAsia"/>
        </w:rPr>
        <w:fldChar w:fldCharType="end"/>
      </w:r>
      <w:r w:rsidR="00D54573">
        <w:rPr>
          <w:rFonts w:eastAsiaTheme="minorEastAsia"/>
        </w:rPr>
        <w:t xml:space="preserve"> </w:t>
      </w:r>
      <w:r w:rsidRPr="00506C83">
        <w:rPr>
          <w:rFonts w:eastAsiaTheme="minorEastAsia"/>
        </w:rPr>
        <w:t xml:space="preserve">focuses on how circadian-effective lighting designs for offices are to be accomplished and field verified, using CS as the primary metric. The WELL and UL recommendations are summarized in </w:t>
      </w:r>
      <w:r w:rsidR="00A02ABA">
        <w:fldChar w:fldCharType="begin"/>
      </w:r>
      <w:r w:rsidR="00A02ABA">
        <w:instrText xml:space="preserve"> REF _Ref90017093 \h </w:instrText>
      </w:r>
      <w:r w:rsidR="00A02ABA">
        <w:fldChar w:fldCharType="separate"/>
      </w:r>
      <w:r w:rsidR="00A02ABA">
        <w:t xml:space="preserve">Table </w:t>
      </w:r>
      <w:r w:rsidR="00A02ABA">
        <w:rPr>
          <w:noProof/>
        </w:rPr>
        <w:t>1</w:t>
      </w:r>
      <w:r w:rsidR="00A02ABA">
        <w:fldChar w:fldCharType="end"/>
      </w:r>
      <w:r w:rsidR="00A02ABA">
        <w:rPr>
          <w:rFonts w:eastAsiaTheme="minorEastAsia"/>
        </w:rPr>
        <w:t xml:space="preserve"> </w:t>
      </w:r>
      <w:r w:rsidRPr="00506C83">
        <w:rPr>
          <w:rFonts w:eastAsiaTheme="minorEastAsia"/>
        </w:rPr>
        <w:t xml:space="preserve">and meeting both sets of recommendations was a priority in the </w:t>
      </w:r>
      <w:r w:rsidRPr="00506C83">
        <w:rPr>
          <w:rFonts w:ascii="Calibri" w:eastAsia="Calibri" w:hAnsi="Calibri" w:cs="Calibri"/>
        </w:rPr>
        <w:t>Circadian</w:t>
      </w:r>
      <w:r w:rsidR="00A02ABA">
        <w:rPr>
          <w:rFonts w:ascii="Calibri" w:eastAsia="Calibri" w:hAnsi="Calibri" w:cs="Calibri"/>
        </w:rPr>
        <w:t xml:space="preserve"> Lighting</w:t>
      </w:r>
      <w:r w:rsidRPr="00506C83">
        <w:rPr>
          <w:rFonts w:ascii="Calibri" w:eastAsia="Calibri" w:hAnsi="Calibri" w:cs="Calibri"/>
        </w:rPr>
        <w:t xml:space="preserve"> Pilot Project</w:t>
      </w:r>
      <w:r w:rsidRPr="00506C83">
        <w:rPr>
          <w:rFonts w:eastAsiaTheme="minorEastAsia"/>
        </w:rPr>
        <w:t>.</w:t>
      </w:r>
    </w:p>
    <w:p w14:paraId="0E395A82" w14:textId="69B40908" w:rsidR="36A2D053" w:rsidRDefault="27C61343" w:rsidP="068C2DDB">
      <w:pPr>
        <w:rPr>
          <w:rFonts w:eastAsiaTheme="minorEastAsia"/>
          <w:sz w:val="24"/>
          <w:szCs w:val="24"/>
        </w:rPr>
      </w:pPr>
      <w:r w:rsidRPr="00506C83">
        <w:t>At the time that the project was initiated, WELL v2 2019 Q2 and UL Design Guideline 24480 were the relevant documents for designing to circadian lighting recommendations and metrics however, the WELL Circadian Lighting Design feature and recommendations have since been updated</w:t>
      </w:r>
      <w:r w:rsidR="76499735" w:rsidRPr="00506C83">
        <w:t xml:space="preserve"> along with the CS metric</w:t>
      </w:r>
      <w:r w:rsidRPr="00506C83">
        <w:t xml:space="preserve">. The 3-point EML threshold in WELL v2 2021 Q4, the current version of WELL v2 at the time of this report, has been increased by 15% to reflect new recommendations made for healthy daytime, evening, and night-time indoor light exposure </w:t>
      </w:r>
      <w:r w:rsidR="00D54573">
        <w:fldChar w:fldCharType="begin"/>
      </w:r>
      <w:r w:rsidR="00D54573">
        <w:instrText xml:space="preserve"> ADDIN EN.CITE &lt;EndNote&gt;&lt;Cite&gt;&lt;Author&gt;Brown&lt;/Author&gt;&lt;Year&gt;2020&lt;/Year&gt;&lt;RecNum&gt;197&lt;/RecNum&gt;&lt;DisplayText&gt;(Brown 2020)&lt;/DisplayText&gt;&lt;record&gt;&lt;rec-number&gt;197&lt;/rec-number&gt;&lt;foreign-keys&gt;&lt;key app="EN" db-id="evaf9eed9pd5e0e59xtvdep80wxesd5tp2fp" timestamp="1640633343"&gt;197&lt;/key&gt;&lt;/foreign-keys&gt;&lt;ref-type name="Journal Article"&gt;17&lt;/ref-type&gt;&lt;contributors&gt;&lt;authors&gt;&lt;author&gt;Brown, T.; Brainard, G.; Cajochen, C.; Czeisler, C.; Hanifin, J.; Lockley, S.; Lucas, R.; Munch, M.; O&amp;apos;Hagan, J.; Peirson, S.; Price, L.; Roenneberg, T.; Schlangen, L.; Skene, D.; Spitschan, M.; Vetter, C.; Zee, P.; Wright Jr., K.&lt;/author&gt;&lt;/authors&gt;&lt;/contributors&gt;&lt;titles&gt;&lt;title&gt; Recommendations for Healthy Daytime, Evening, and Night-Time Indoor Light Exposure&lt;/title&gt;&lt;secondary-title&gt;Preprints&lt;/secondary-title&gt;&lt;/titles&gt;&lt;periodical&gt;&lt;full-title&gt;Preprints&lt;/full-title&gt;&lt;/periodical&gt;&lt;dates&gt;&lt;year&gt;2020&lt;/year&gt;&lt;/dates&gt;&lt;urls&gt;&lt;/urls&gt;&lt;electronic-resource-num&gt;doi: 10.20944/preprints202012.0037.v1&lt;/electronic-resource-num&gt;&lt;/record&gt;&lt;/Cite&gt;&lt;/EndNote&gt;</w:instrText>
      </w:r>
      <w:r w:rsidR="00D54573">
        <w:fldChar w:fldCharType="separate"/>
      </w:r>
      <w:r w:rsidR="00D54573">
        <w:rPr>
          <w:noProof/>
        </w:rPr>
        <w:t>(Brown 2020)</w:t>
      </w:r>
      <w:r w:rsidR="00D54573">
        <w:fldChar w:fldCharType="end"/>
      </w:r>
      <w:r w:rsidRPr="00506C83">
        <w:t xml:space="preserve">. Although this higher EML recommendation did not exist until after the </w:t>
      </w:r>
      <w:r w:rsidRPr="00506C83">
        <w:rPr>
          <w:rFonts w:ascii="Calibri" w:eastAsia="Calibri" w:hAnsi="Calibri" w:cs="Calibri"/>
        </w:rPr>
        <w:t>Circadian Pilot Project</w:t>
      </w:r>
      <w:r w:rsidRPr="27C61343">
        <w:t xml:space="preserve"> concluded, it has been included in </w:t>
      </w:r>
      <w:r w:rsidR="003A6750">
        <w:fldChar w:fldCharType="begin"/>
      </w:r>
      <w:r w:rsidR="003A6750">
        <w:instrText xml:space="preserve"> REF _Ref90017093 \h </w:instrText>
      </w:r>
      <w:r w:rsidR="003A6750">
        <w:fldChar w:fldCharType="separate"/>
      </w:r>
      <w:r w:rsidR="003A6750">
        <w:t xml:space="preserve">Table </w:t>
      </w:r>
      <w:r w:rsidR="003A6750">
        <w:rPr>
          <w:noProof/>
        </w:rPr>
        <w:t>1</w:t>
      </w:r>
      <w:r w:rsidR="003A6750">
        <w:fldChar w:fldCharType="end"/>
      </w:r>
      <w:r w:rsidR="2153F269">
        <w:t xml:space="preserve"> </w:t>
      </w:r>
      <w:r w:rsidRPr="27C61343">
        <w:t>as it will be discussed in the later sections of this report.</w:t>
      </w:r>
      <w:r w:rsidR="00A02ABA">
        <w:t xml:space="preserve"> </w:t>
      </w:r>
    </w:p>
    <w:p w14:paraId="4E8DA8D1" w14:textId="77777777" w:rsidR="003A6750" w:rsidRPr="00526981" w:rsidRDefault="6AD07C49" w:rsidP="36A2D053">
      <w:pPr>
        <w:rPr>
          <w:sz w:val="18"/>
          <w:szCs w:val="18"/>
        </w:rPr>
      </w:pPr>
      <w:r w:rsidRPr="00526981">
        <w:rPr>
          <w:rStyle w:val="Caption1Char"/>
          <w:sz w:val="18"/>
          <w:szCs w:val="18"/>
        </w:rPr>
        <w:t xml:space="preserve"> </w:t>
      </w:r>
    </w:p>
    <w:p w14:paraId="43C1DD3A" w14:textId="40A1C4A5" w:rsidR="256284B9" w:rsidRPr="00526981" w:rsidRDefault="003A6750" w:rsidP="00B02F3D">
      <w:pPr>
        <w:pStyle w:val="Caption"/>
        <w:keepNext/>
        <w:rPr>
          <w:rStyle w:val="Strong"/>
          <w:b w:val="0"/>
          <w:bCs w:val="0"/>
          <w:i w:val="0"/>
          <w:iCs w:val="0"/>
          <w:color w:val="auto"/>
        </w:rPr>
      </w:pPr>
      <w:bookmarkStart w:id="4" w:name="_Ref90017093"/>
      <w:r w:rsidRPr="00526981">
        <w:rPr>
          <w:b/>
          <w:bCs/>
          <w:i w:val="0"/>
          <w:iCs w:val="0"/>
          <w:color w:val="auto"/>
        </w:rPr>
        <w:t xml:space="preserve">Table </w:t>
      </w:r>
      <w:r w:rsidRPr="00526981">
        <w:rPr>
          <w:b/>
          <w:bCs/>
          <w:i w:val="0"/>
          <w:iCs w:val="0"/>
          <w:color w:val="auto"/>
        </w:rPr>
        <w:fldChar w:fldCharType="begin"/>
      </w:r>
      <w:r w:rsidRPr="00526981">
        <w:rPr>
          <w:b/>
          <w:bCs/>
          <w:i w:val="0"/>
          <w:iCs w:val="0"/>
          <w:color w:val="auto"/>
        </w:rPr>
        <w:instrText xml:space="preserve"> SEQ Table \* ARABIC </w:instrText>
      </w:r>
      <w:r w:rsidRPr="00526981">
        <w:rPr>
          <w:b/>
          <w:bCs/>
          <w:i w:val="0"/>
          <w:iCs w:val="0"/>
          <w:color w:val="auto"/>
        </w:rPr>
        <w:fldChar w:fldCharType="separate"/>
      </w:r>
      <w:r w:rsidR="00A60E2D" w:rsidRPr="00526981">
        <w:rPr>
          <w:b/>
          <w:bCs/>
          <w:i w:val="0"/>
          <w:iCs w:val="0"/>
          <w:noProof/>
          <w:color w:val="auto"/>
        </w:rPr>
        <w:t>1</w:t>
      </w:r>
      <w:r w:rsidRPr="00526981">
        <w:rPr>
          <w:b/>
          <w:bCs/>
          <w:i w:val="0"/>
          <w:iCs w:val="0"/>
          <w:color w:val="auto"/>
        </w:rPr>
        <w:fldChar w:fldCharType="end"/>
      </w:r>
      <w:bookmarkEnd w:id="4"/>
      <w:r w:rsidRPr="00526981">
        <w:rPr>
          <w:b/>
          <w:bCs/>
          <w:i w:val="0"/>
          <w:iCs w:val="0"/>
          <w:color w:val="auto"/>
        </w:rPr>
        <w:t xml:space="preserve">. </w:t>
      </w:r>
      <w:r w:rsidR="6AD07C49" w:rsidRPr="00526981">
        <w:rPr>
          <w:rStyle w:val="Caption1Char"/>
          <w:i w:val="0"/>
          <w:color w:val="auto"/>
          <w:sz w:val="18"/>
          <w:szCs w:val="18"/>
        </w:rPr>
        <w:t xml:space="preserve"> WELL and UL Circadian Lighting Design Recommendations. </w:t>
      </w:r>
      <w:r w:rsidR="00526981" w:rsidRPr="00526981">
        <w:rPr>
          <w:rStyle w:val="Caption1Char"/>
          <w:b w:val="0"/>
          <w:bCs w:val="0"/>
          <w:i w:val="0"/>
          <w:color w:val="auto"/>
          <w:sz w:val="18"/>
          <w:szCs w:val="18"/>
        </w:rPr>
        <w:t xml:space="preserve">WELL </w:t>
      </w:r>
      <w:r w:rsidR="00526981">
        <w:rPr>
          <w:rStyle w:val="Caption1Char"/>
          <w:b w:val="0"/>
          <w:bCs w:val="0"/>
          <w:i w:val="0"/>
          <w:color w:val="auto"/>
          <w:sz w:val="18"/>
          <w:szCs w:val="18"/>
        </w:rPr>
        <w:t xml:space="preserve">recommendations for EML were updated after the start of the Circadian Lighting Pilot Project. </w:t>
      </w:r>
    </w:p>
    <w:tbl>
      <w:tblPr>
        <w:tblStyle w:val="TableGrid"/>
        <w:tblW w:w="9135" w:type="dxa"/>
        <w:tblLayout w:type="fixed"/>
        <w:tblLook w:val="04A0" w:firstRow="1" w:lastRow="0" w:firstColumn="1" w:lastColumn="0" w:noHBand="0" w:noVBand="1"/>
      </w:tblPr>
      <w:tblGrid>
        <w:gridCol w:w="1695"/>
        <w:gridCol w:w="3495"/>
        <w:gridCol w:w="930"/>
        <w:gridCol w:w="1590"/>
        <w:gridCol w:w="1425"/>
      </w:tblGrid>
      <w:tr w:rsidR="1B4CFE49" w14:paraId="5F07DC43" w14:textId="77777777" w:rsidTr="24BF80BE">
        <w:trPr>
          <w:trHeight w:val="300"/>
        </w:trPr>
        <w:tc>
          <w:tcPr>
            <w:tcW w:w="1695" w:type="dxa"/>
            <w:tcBorders>
              <w:top w:val="single" w:sz="8" w:space="0" w:color="auto"/>
              <w:left w:val="single" w:sz="8" w:space="0" w:color="auto"/>
              <w:bottom w:val="single" w:sz="8" w:space="0" w:color="auto"/>
              <w:right w:val="single" w:sz="8" w:space="0" w:color="auto"/>
            </w:tcBorders>
          </w:tcPr>
          <w:p w14:paraId="77C54FA8" w14:textId="7956D191" w:rsidR="1B4CFE49" w:rsidRDefault="1B4CFE49" w:rsidP="1B4CFE49">
            <w:pPr>
              <w:jc w:val="center"/>
            </w:pPr>
            <w:r w:rsidRPr="1B4CFE49">
              <w:rPr>
                <w:rFonts w:ascii="Calibri" w:eastAsia="Calibri" w:hAnsi="Calibri" w:cs="Calibri"/>
                <w:sz w:val="18"/>
                <w:szCs w:val="18"/>
              </w:rPr>
              <w:t>Document</w:t>
            </w:r>
          </w:p>
        </w:tc>
        <w:tc>
          <w:tcPr>
            <w:tcW w:w="3495" w:type="dxa"/>
            <w:tcBorders>
              <w:top w:val="single" w:sz="8" w:space="0" w:color="auto"/>
              <w:left w:val="single" w:sz="8" w:space="0" w:color="auto"/>
              <w:bottom w:val="single" w:sz="8" w:space="0" w:color="auto"/>
              <w:right w:val="single" w:sz="8" w:space="0" w:color="auto"/>
            </w:tcBorders>
          </w:tcPr>
          <w:p w14:paraId="0E15AF2D" w14:textId="48FF84DF" w:rsidR="1B4CFE49" w:rsidRDefault="1B4CFE49" w:rsidP="1B4CFE49">
            <w:pPr>
              <w:jc w:val="center"/>
            </w:pPr>
            <w:r w:rsidRPr="1B4CFE49">
              <w:rPr>
                <w:rFonts w:ascii="Calibri" w:eastAsia="Calibri" w:hAnsi="Calibri" w:cs="Calibri"/>
                <w:sz w:val="18"/>
                <w:szCs w:val="18"/>
              </w:rPr>
              <w:t>Recommendation</w:t>
            </w:r>
          </w:p>
        </w:tc>
        <w:tc>
          <w:tcPr>
            <w:tcW w:w="930" w:type="dxa"/>
            <w:tcBorders>
              <w:top w:val="single" w:sz="8" w:space="0" w:color="auto"/>
              <w:left w:val="single" w:sz="8" w:space="0" w:color="auto"/>
              <w:bottom w:val="single" w:sz="8" w:space="0" w:color="auto"/>
              <w:right w:val="single" w:sz="8" w:space="0" w:color="auto"/>
            </w:tcBorders>
          </w:tcPr>
          <w:p w14:paraId="3433BD92" w14:textId="378456EC" w:rsidR="1B4CFE49" w:rsidRDefault="1B4CFE49" w:rsidP="1B4CFE49">
            <w:pPr>
              <w:jc w:val="center"/>
            </w:pPr>
            <w:r w:rsidRPr="1B4CFE49">
              <w:rPr>
                <w:rFonts w:ascii="Calibri" w:eastAsia="Calibri" w:hAnsi="Calibri" w:cs="Calibri"/>
                <w:sz w:val="18"/>
                <w:szCs w:val="18"/>
              </w:rPr>
              <w:t>Viewing Locations</w:t>
            </w:r>
          </w:p>
        </w:tc>
        <w:tc>
          <w:tcPr>
            <w:tcW w:w="1590" w:type="dxa"/>
            <w:tcBorders>
              <w:top w:val="single" w:sz="8" w:space="0" w:color="auto"/>
              <w:left w:val="single" w:sz="8" w:space="0" w:color="auto"/>
              <w:bottom w:val="single" w:sz="8" w:space="0" w:color="auto"/>
              <w:right w:val="single" w:sz="8" w:space="0" w:color="auto"/>
            </w:tcBorders>
          </w:tcPr>
          <w:p w14:paraId="04A4826C" w14:textId="1359D642" w:rsidR="1B4CFE49" w:rsidRDefault="1B4CFE49" w:rsidP="1B4CFE49">
            <w:pPr>
              <w:jc w:val="center"/>
            </w:pPr>
            <w:r w:rsidRPr="1B4CFE49">
              <w:rPr>
                <w:rFonts w:ascii="Calibri" w:eastAsia="Calibri" w:hAnsi="Calibri" w:cs="Calibri"/>
                <w:sz w:val="18"/>
                <w:szCs w:val="18"/>
              </w:rPr>
              <w:t xml:space="preserve">Measurement Height </w:t>
            </w:r>
            <w:r w:rsidR="20E1184F" w:rsidRPr="70DF0CC9">
              <w:rPr>
                <w:rFonts w:ascii="Calibri" w:eastAsia="Calibri" w:hAnsi="Calibri" w:cs="Calibri"/>
                <w:sz w:val="18"/>
                <w:szCs w:val="18"/>
              </w:rPr>
              <w:t xml:space="preserve">Above Finished Floor </w:t>
            </w:r>
            <w:r w:rsidRPr="1B4CFE49">
              <w:rPr>
                <w:rFonts w:ascii="Calibri" w:eastAsia="Calibri" w:hAnsi="Calibri" w:cs="Calibri"/>
                <w:sz w:val="18"/>
                <w:szCs w:val="18"/>
              </w:rPr>
              <w:t xml:space="preserve"> (ft)</w:t>
            </w:r>
          </w:p>
        </w:tc>
        <w:tc>
          <w:tcPr>
            <w:tcW w:w="1425" w:type="dxa"/>
            <w:tcBorders>
              <w:top w:val="single" w:sz="8" w:space="0" w:color="auto"/>
              <w:left w:val="single" w:sz="8" w:space="0" w:color="auto"/>
              <w:bottom w:val="single" w:sz="8" w:space="0" w:color="auto"/>
              <w:right w:val="single" w:sz="8" w:space="0" w:color="auto"/>
            </w:tcBorders>
          </w:tcPr>
          <w:p w14:paraId="75CF895A" w14:textId="43D24107" w:rsidR="1B4CFE49" w:rsidRDefault="6AD07C49" w:rsidP="1B4CFE49">
            <w:pPr>
              <w:jc w:val="center"/>
            </w:pPr>
            <w:r w:rsidRPr="6AD07C49">
              <w:rPr>
                <w:rFonts w:ascii="Calibri" w:eastAsia="Calibri" w:hAnsi="Calibri" w:cs="Calibri"/>
                <w:sz w:val="18"/>
                <w:szCs w:val="18"/>
              </w:rPr>
              <w:t>Minimum Duration (hrs)</w:t>
            </w:r>
          </w:p>
        </w:tc>
      </w:tr>
      <w:tr w:rsidR="1B4CFE49" w14:paraId="0FBE870B" w14:textId="77777777" w:rsidTr="24BF80BE">
        <w:trPr>
          <w:trHeight w:val="495"/>
        </w:trPr>
        <w:tc>
          <w:tcPr>
            <w:tcW w:w="1695" w:type="dxa"/>
            <w:tcBorders>
              <w:top w:val="single" w:sz="8" w:space="0" w:color="auto"/>
              <w:left w:val="single" w:sz="8" w:space="0" w:color="auto"/>
              <w:bottom w:val="single" w:sz="8" w:space="0" w:color="auto"/>
              <w:right w:val="single" w:sz="8" w:space="0" w:color="auto"/>
            </w:tcBorders>
            <w:vAlign w:val="center"/>
          </w:tcPr>
          <w:p w14:paraId="4072A393" w14:textId="37154F85" w:rsidR="1B4CFE49" w:rsidRDefault="6AD07C49">
            <w:r w:rsidRPr="6AD07C49">
              <w:rPr>
                <w:rFonts w:ascii="Calibri" w:eastAsia="Calibri" w:hAnsi="Calibri" w:cs="Calibri"/>
                <w:sz w:val="18"/>
                <w:szCs w:val="18"/>
              </w:rPr>
              <w:t>WELL v2 2019 Q2</w:t>
            </w:r>
          </w:p>
        </w:tc>
        <w:tc>
          <w:tcPr>
            <w:tcW w:w="3495" w:type="dxa"/>
            <w:tcBorders>
              <w:top w:val="single" w:sz="8" w:space="0" w:color="auto"/>
              <w:left w:val="single" w:sz="8" w:space="0" w:color="auto"/>
              <w:bottom w:val="single" w:sz="8" w:space="0" w:color="auto"/>
              <w:right w:val="single" w:sz="8" w:space="0" w:color="auto"/>
            </w:tcBorders>
            <w:vAlign w:val="center"/>
          </w:tcPr>
          <w:p w14:paraId="0AE05980" w14:textId="646576EF" w:rsidR="1B4CFE49" w:rsidRDefault="36A2D053">
            <w:r w:rsidRPr="36A2D053">
              <w:rPr>
                <w:rFonts w:ascii="Calibri" w:eastAsia="Calibri" w:hAnsi="Calibri" w:cs="Calibri"/>
                <w:sz w:val="18"/>
                <w:szCs w:val="18"/>
              </w:rPr>
              <w:t xml:space="preserve">1 point: EML </w:t>
            </w:r>
            <w:r w:rsidRPr="36A2D053">
              <w:rPr>
                <w:rFonts w:ascii="Symbol" w:eastAsia="Symbol" w:hAnsi="Symbol" w:cs="Symbol"/>
                <w:sz w:val="18"/>
                <w:szCs w:val="18"/>
              </w:rPr>
              <w:t>³</w:t>
            </w:r>
            <w:r w:rsidRPr="36A2D053">
              <w:rPr>
                <w:rFonts w:ascii="Calibri" w:eastAsia="Calibri" w:hAnsi="Calibri" w:cs="Calibri"/>
                <w:sz w:val="18"/>
                <w:szCs w:val="18"/>
              </w:rPr>
              <w:t xml:space="preserve"> 150 [136 M-EDI] </w:t>
            </w:r>
            <w:r w:rsidRPr="36A2D053">
              <w:rPr>
                <w:rFonts w:ascii="Calibri" w:eastAsia="Calibri" w:hAnsi="Calibri" w:cs="Calibri"/>
                <w:i/>
                <w:iCs/>
                <w:sz w:val="18"/>
                <w:szCs w:val="18"/>
              </w:rPr>
              <w:t xml:space="preserve">OR </w:t>
            </w:r>
            <w:r w:rsidRPr="36A2D053">
              <w:rPr>
                <w:rFonts w:ascii="Calibri" w:eastAsia="Calibri" w:hAnsi="Calibri" w:cs="Calibri"/>
                <w:sz w:val="18"/>
                <w:szCs w:val="18"/>
              </w:rPr>
              <w:t xml:space="preserve">CS </w:t>
            </w:r>
            <w:r w:rsidRPr="36A2D053">
              <w:rPr>
                <w:rFonts w:ascii="Symbol" w:eastAsia="Symbol" w:hAnsi="Symbol" w:cs="Symbol"/>
                <w:sz w:val="18"/>
                <w:szCs w:val="18"/>
              </w:rPr>
              <w:t>³</w:t>
            </w:r>
            <w:r w:rsidRPr="36A2D053">
              <w:rPr>
                <w:rFonts w:ascii="Calibri" w:eastAsia="Calibri" w:hAnsi="Calibri" w:cs="Calibri"/>
                <w:sz w:val="18"/>
                <w:szCs w:val="18"/>
              </w:rPr>
              <w:t xml:space="preserve"> 0.3</w:t>
            </w:r>
          </w:p>
          <w:p w14:paraId="50304DA8" w14:textId="4FE8A7B9" w:rsidR="1B4CFE49" w:rsidRDefault="1B4CFE49">
            <w:r w:rsidRPr="1B4CFE49">
              <w:rPr>
                <w:rFonts w:ascii="Calibri" w:eastAsia="Calibri" w:hAnsi="Calibri" w:cs="Calibri"/>
                <w:sz w:val="18"/>
                <w:szCs w:val="18"/>
              </w:rPr>
              <w:t xml:space="preserve">3 points: EML </w:t>
            </w:r>
            <w:r w:rsidRPr="1B4CFE49">
              <w:rPr>
                <w:rFonts w:ascii="Symbol" w:eastAsia="Symbol" w:hAnsi="Symbol" w:cs="Symbol"/>
                <w:sz w:val="18"/>
                <w:szCs w:val="18"/>
              </w:rPr>
              <w:t>³</w:t>
            </w:r>
            <w:r w:rsidRPr="1B4CFE49">
              <w:rPr>
                <w:rFonts w:ascii="Calibri" w:eastAsia="Calibri" w:hAnsi="Calibri" w:cs="Calibri"/>
                <w:sz w:val="18"/>
                <w:szCs w:val="18"/>
              </w:rPr>
              <w:t xml:space="preserve"> 240 [218 M-EDI]</w:t>
            </w:r>
          </w:p>
        </w:tc>
        <w:tc>
          <w:tcPr>
            <w:tcW w:w="930" w:type="dxa"/>
            <w:tcBorders>
              <w:top w:val="single" w:sz="8" w:space="0" w:color="auto"/>
              <w:left w:val="single" w:sz="8" w:space="0" w:color="auto"/>
              <w:bottom w:val="single" w:sz="8" w:space="0" w:color="auto"/>
              <w:right w:val="single" w:sz="8" w:space="0" w:color="auto"/>
            </w:tcBorders>
            <w:vAlign w:val="center"/>
          </w:tcPr>
          <w:p w14:paraId="09E4B7A3" w14:textId="0DCD1784" w:rsidR="1B4CFE49" w:rsidRDefault="1B4CFE49" w:rsidP="1B4CFE49">
            <w:pPr>
              <w:jc w:val="center"/>
            </w:pPr>
            <w:r w:rsidRPr="1B4CFE49">
              <w:rPr>
                <w:rFonts w:ascii="Calibri" w:eastAsia="Calibri" w:hAnsi="Calibri" w:cs="Calibri"/>
                <w:sz w:val="18"/>
                <w:szCs w:val="18"/>
              </w:rPr>
              <w:t>100%</w:t>
            </w:r>
          </w:p>
        </w:tc>
        <w:tc>
          <w:tcPr>
            <w:tcW w:w="1590" w:type="dxa"/>
            <w:tcBorders>
              <w:top w:val="single" w:sz="8" w:space="0" w:color="auto"/>
              <w:left w:val="single" w:sz="8" w:space="0" w:color="auto"/>
              <w:bottom w:val="single" w:sz="8" w:space="0" w:color="auto"/>
              <w:right w:val="single" w:sz="8" w:space="0" w:color="auto"/>
            </w:tcBorders>
            <w:vAlign w:val="center"/>
          </w:tcPr>
          <w:p w14:paraId="363550C6" w14:textId="275B6D18" w:rsidR="1B4CFE49" w:rsidRDefault="1B4CFE49" w:rsidP="1B4CFE49">
            <w:pPr>
              <w:jc w:val="center"/>
            </w:pPr>
            <w:r w:rsidRPr="1B4CFE49">
              <w:rPr>
                <w:rFonts w:ascii="Calibri" w:eastAsia="Calibri" w:hAnsi="Calibri" w:cs="Calibri"/>
                <w:sz w:val="18"/>
                <w:szCs w:val="18"/>
              </w:rPr>
              <w:t>4</w:t>
            </w:r>
          </w:p>
        </w:tc>
        <w:tc>
          <w:tcPr>
            <w:tcW w:w="1425" w:type="dxa"/>
            <w:tcBorders>
              <w:top w:val="single" w:sz="8" w:space="0" w:color="auto"/>
              <w:left w:val="single" w:sz="8" w:space="0" w:color="auto"/>
              <w:bottom w:val="single" w:sz="8" w:space="0" w:color="auto"/>
              <w:right w:val="single" w:sz="8" w:space="0" w:color="auto"/>
            </w:tcBorders>
            <w:vAlign w:val="center"/>
          </w:tcPr>
          <w:p w14:paraId="3C3A7E5A" w14:textId="736C7E3A" w:rsidR="1B4CFE49" w:rsidRDefault="1B4CFE49" w:rsidP="1B4CFE49">
            <w:pPr>
              <w:jc w:val="center"/>
            </w:pPr>
            <w:r w:rsidRPr="1B4CFE49">
              <w:rPr>
                <w:rFonts w:ascii="Calibri" w:eastAsia="Calibri" w:hAnsi="Calibri" w:cs="Calibri"/>
                <w:sz w:val="18"/>
                <w:szCs w:val="18"/>
              </w:rPr>
              <w:t>4</w:t>
            </w:r>
          </w:p>
          <w:p w14:paraId="1142385C" w14:textId="6DF1E0A7" w:rsidR="1B4CFE49" w:rsidRDefault="1B4CFE49" w:rsidP="1B4CFE49">
            <w:pPr>
              <w:jc w:val="center"/>
            </w:pPr>
            <w:r w:rsidRPr="1B4CFE49">
              <w:rPr>
                <w:rFonts w:ascii="Calibri" w:eastAsia="Calibri" w:hAnsi="Calibri" w:cs="Calibri"/>
                <w:sz w:val="18"/>
                <w:szCs w:val="18"/>
              </w:rPr>
              <w:t>9 a.m. – 1 p.m.</w:t>
            </w:r>
          </w:p>
        </w:tc>
      </w:tr>
      <w:tr w:rsidR="1B4CFE49" w14:paraId="4AEA7335" w14:textId="77777777" w:rsidTr="24BF80BE">
        <w:trPr>
          <w:trHeight w:val="420"/>
        </w:trPr>
        <w:tc>
          <w:tcPr>
            <w:tcW w:w="1695" w:type="dxa"/>
            <w:tcBorders>
              <w:top w:val="single" w:sz="8" w:space="0" w:color="auto"/>
              <w:left w:val="single" w:sz="8" w:space="0" w:color="auto"/>
              <w:bottom w:val="single" w:sz="8" w:space="0" w:color="auto"/>
              <w:right w:val="single" w:sz="8" w:space="0" w:color="auto"/>
            </w:tcBorders>
            <w:vAlign w:val="center"/>
          </w:tcPr>
          <w:p w14:paraId="3EF2B68C" w14:textId="28FCF767" w:rsidR="1B4CFE49" w:rsidRDefault="6AD07C49">
            <w:r w:rsidRPr="6AD07C49">
              <w:rPr>
                <w:rFonts w:ascii="Calibri" w:eastAsia="Calibri" w:hAnsi="Calibri" w:cs="Calibri"/>
                <w:sz w:val="18"/>
                <w:szCs w:val="18"/>
              </w:rPr>
              <w:t>WELL v2 2021 Q4</w:t>
            </w:r>
          </w:p>
        </w:tc>
        <w:tc>
          <w:tcPr>
            <w:tcW w:w="3495" w:type="dxa"/>
            <w:tcBorders>
              <w:top w:val="single" w:sz="8" w:space="0" w:color="auto"/>
              <w:left w:val="single" w:sz="8" w:space="0" w:color="auto"/>
              <w:bottom w:val="single" w:sz="8" w:space="0" w:color="auto"/>
              <w:right w:val="single" w:sz="8" w:space="0" w:color="auto"/>
            </w:tcBorders>
            <w:vAlign w:val="center"/>
          </w:tcPr>
          <w:p w14:paraId="12411F97" w14:textId="15DEE42B" w:rsidR="1B4CFE49" w:rsidRDefault="36A2D053">
            <w:r w:rsidRPr="36A2D053">
              <w:rPr>
                <w:rFonts w:ascii="Calibri" w:eastAsia="Calibri" w:hAnsi="Calibri" w:cs="Calibri"/>
                <w:sz w:val="18"/>
                <w:szCs w:val="18"/>
              </w:rPr>
              <w:t xml:space="preserve">1 point: EML </w:t>
            </w:r>
            <w:r w:rsidRPr="36A2D053">
              <w:rPr>
                <w:rFonts w:ascii="Symbol" w:eastAsia="Symbol" w:hAnsi="Symbol" w:cs="Symbol"/>
                <w:sz w:val="18"/>
                <w:szCs w:val="18"/>
              </w:rPr>
              <w:t>³</w:t>
            </w:r>
            <w:r w:rsidRPr="36A2D053">
              <w:rPr>
                <w:rFonts w:ascii="Calibri" w:eastAsia="Calibri" w:hAnsi="Calibri" w:cs="Calibri"/>
                <w:sz w:val="18"/>
                <w:szCs w:val="18"/>
              </w:rPr>
              <w:t xml:space="preserve"> 150 [136 M-EDI]</w:t>
            </w:r>
          </w:p>
          <w:p w14:paraId="7F86E638" w14:textId="2FABB649" w:rsidR="1B4CFE49" w:rsidRDefault="1B4CFE49">
            <w:r w:rsidRPr="1B4CFE49">
              <w:rPr>
                <w:rFonts w:ascii="Calibri" w:eastAsia="Calibri" w:hAnsi="Calibri" w:cs="Calibri"/>
                <w:sz w:val="18"/>
                <w:szCs w:val="18"/>
              </w:rPr>
              <w:t xml:space="preserve">3 points: EML </w:t>
            </w:r>
            <w:r w:rsidRPr="1B4CFE49">
              <w:rPr>
                <w:rFonts w:ascii="Symbol" w:eastAsia="Symbol" w:hAnsi="Symbol" w:cs="Symbol"/>
                <w:sz w:val="18"/>
                <w:szCs w:val="18"/>
              </w:rPr>
              <w:t>³</w:t>
            </w:r>
            <w:r w:rsidRPr="1B4CFE49">
              <w:rPr>
                <w:rFonts w:ascii="Calibri" w:eastAsia="Calibri" w:hAnsi="Calibri" w:cs="Calibri"/>
                <w:sz w:val="18"/>
                <w:szCs w:val="18"/>
              </w:rPr>
              <w:t xml:space="preserve"> 275 [250 M-EDI]</w:t>
            </w:r>
          </w:p>
        </w:tc>
        <w:tc>
          <w:tcPr>
            <w:tcW w:w="930" w:type="dxa"/>
            <w:tcBorders>
              <w:top w:val="single" w:sz="8" w:space="0" w:color="auto"/>
              <w:left w:val="single" w:sz="8" w:space="0" w:color="auto"/>
              <w:bottom w:val="single" w:sz="8" w:space="0" w:color="auto"/>
              <w:right w:val="single" w:sz="8" w:space="0" w:color="auto"/>
            </w:tcBorders>
            <w:vAlign w:val="center"/>
          </w:tcPr>
          <w:p w14:paraId="5D4216EF" w14:textId="1FC1CA35" w:rsidR="1B4CFE49" w:rsidRDefault="1B4CFE49" w:rsidP="1B4CFE49">
            <w:pPr>
              <w:jc w:val="center"/>
            </w:pPr>
            <w:r w:rsidRPr="1B4CFE49">
              <w:rPr>
                <w:rFonts w:ascii="Calibri" w:eastAsia="Calibri" w:hAnsi="Calibri" w:cs="Calibri"/>
                <w:sz w:val="18"/>
                <w:szCs w:val="18"/>
              </w:rPr>
              <w:t>100%</w:t>
            </w:r>
          </w:p>
        </w:tc>
        <w:tc>
          <w:tcPr>
            <w:tcW w:w="1590" w:type="dxa"/>
            <w:tcBorders>
              <w:top w:val="single" w:sz="8" w:space="0" w:color="auto"/>
              <w:left w:val="single" w:sz="8" w:space="0" w:color="auto"/>
              <w:bottom w:val="single" w:sz="8" w:space="0" w:color="auto"/>
              <w:right w:val="single" w:sz="8" w:space="0" w:color="auto"/>
            </w:tcBorders>
            <w:vAlign w:val="center"/>
          </w:tcPr>
          <w:p w14:paraId="5AF63195" w14:textId="2D6AE5B6" w:rsidR="1B4CFE49" w:rsidRDefault="1B4CFE49" w:rsidP="1B4CFE49">
            <w:pPr>
              <w:jc w:val="center"/>
            </w:pPr>
            <w:r w:rsidRPr="1B4CFE49">
              <w:rPr>
                <w:rFonts w:ascii="Calibri" w:eastAsia="Calibri" w:hAnsi="Calibri" w:cs="Calibri"/>
                <w:sz w:val="18"/>
                <w:szCs w:val="18"/>
              </w:rPr>
              <w:t>4</w:t>
            </w:r>
          </w:p>
        </w:tc>
        <w:tc>
          <w:tcPr>
            <w:tcW w:w="1425" w:type="dxa"/>
            <w:tcBorders>
              <w:top w:val="single" w:sz="8" w:space="0" w:color="auto"/>
              <w:left w:val="single" w:sz="8" w:space="0" w:color="auto"/>
              <w:bottom w:val="single" w:sz="8" w:space="0" w:color="auto"/>
              <w:right w:val="single" w:sz="8" w:space="0" w:color="auto"/>
            </w:tcBorders>
            <w:vAlign w:val="center"/>
          </w:tcPr>
          <w:p w14:paraId="7F466370" w14:textId="63F41D05" w:rsidR="1B4CFE49" w:rsidRDefault="1B4CFE49" w:rsidP="1B4CFE49">
            <w:pPr>
              <w:jc w:val="center"/>
            </w:pPr>
            <w:r w:rsidRPr="1B4CFE49">
              <w:rPr>
                <w:rFonts w:ascii="Calibri" w:eastAsia="Calibri" w:hAnsi="Calibri" w:cs="Calibri"/>
                <w:sz w:val="18"/>
                <w:szCs w:val="18"/>
              </w:rPr>
              <w:t>4</w:t>
            </w:r>
          </w:p>
          <w:p w14:paraId="7412884C" w14:textId="0A0F0249" w:rsidR="1B4CFE49" w:rsidRDefault="1B4CFE49" w:rsidP="1B4CFE49">
            <w:pPr>
              <w:jc w:val="center"/>
            </w:pPr>
            <w:r w:rsidRPr="1B4CFE49">
              <w:rPr>
                <w:rFonts w:ascii="Calibri" w:eastAsia="Calibri" w:hAnsi="Calibri" w:cs="Calibri"/>
                <w:sz w:val="18"/>
                <w:szCs w:val="18"/>
              </w:rPr>
              <w:t>Beginning by noon</w:t>
            </w:r>
          </w:p>
        </w:tc>
      </w:tr>
      <w:tr w:rsidR="1B4CFE49" w14:paraId="2AB827E0" w14:textId="77777777" w:rsidTr="24BF80BE">
        <w:trPr>
          <w:trHeight w:val="300"/>
        </w:trPr>
        <w:tc>
          <w:tcPr>
            <w:tcW w:w="1695" w:type="dxa"/>
            <w:tcBorders>
              <w:top w:val="single" w:sz="8" w:space="0" w:color="auto"/>
              <w:left w:val="single" w:sz="8" w:space="0" w:color="auto"/>
              <w:bottom w:val="single" w:sz="8" w:space="0" w:color="auto"/>
              <w:right w:val="single" w:sz="8" w:space="0" w:color="auto"/>
            </w:tcBorders>
            <w:vAlign w:val="center"/>
          </w:tcPr>
          <w:p w14:paraId="766A6C2F" w14:textId="117849B2" w:rsidR="1B4CFE49" w:rsidRDefault="1B4CFE49">
            <w:r w:rsidRPr="1B4CFE49">
              <w:rPr>
                <w:rFonts w:ascii="Calibri" w:eastAsia="Calibri" w:hAnsi="Calibri" w:cs="Calibri"/>
                <w:sz w:val="18"/>
                <w:szCs w:val="18"/>
              </w:rPr>
              <w:t>UL Design Guideline 24480 (2019)</w:t>
            </w:r>
          </w:p>
        </w:tc>
        <w:tc>
          <w:tcPr>
            <w:tcW w:w="3495" w:type="dxa"/>
            <w:tcBorders>
              <w:top w:val="single" w:sz="8" w:space="0" w:color="auto"/>
              <w:left w:val="single" w:sz="8" w:space="0" w:color="auto"/>
              <w:bottom w:val="single" w:sz="8" w:space="0" w:color="auto"/>
              <w:right w:val="single" w:sz="8" w:space="0" w:color="auto"/>
            </w:tcBorders>
            <w:vAlign w:val="center"/>
          </w:tcPr>
          <w:p w14:paraId="06390CD8" w14:textId="61117F18" w:rsidR="1B4CFE49" w:rsidRDefault="1B4CFE49">
            <w:r w:rsidRPr="1B4CFE49">
              <w:rPr>
                <w:rFonts w:ascii="Calibri" w:eastAsia="Calibri" w:hAnsi="Calibri" w:cs="Calibri"/>
                <w:sz w:val="18"/>
                <w:szCs w:val="18"/>
              </w:rPr>
              <w:t xml:space="preserve">CS </w:t>
            </w:r>
            <w:r w:rsidRPr="1B4CFE49">
              <w:rPr>
                <w:rFonts w:ascii="Symbol" w:eastAsia="Symbol" w:hAnsi="Symbol" w:cs="Symbol"/>
                <w:sz w:val="18"/>
                <w:szCs w:val="18"/>
              </w:rPr>
              <w:t>³</w:t>
            </w:r>
            <w:r w:rsidRPr="1B4CFE49">
              <w:rPr>
                <w:rFonts w:ascii="Calibri" w:eastAsia="Calibri" w:hAnsi="Calibri" w:cs="Calibri"/>
                <w:sz w:val="18"/>
                <w:szCs w:val="18"/>
              </w:rPr>
              <w:t xml:space="preserve"> 0.3</w:t>
            </w:r>
          </w:p>
        </w:tc>
        <w:tc>
          <w:tcPr>
            <w:tcW w:w="930" w:type="dxa"/>
            <w:tcBorders>
              <w:top w:val="single" w:sz="8" w:space="0" w:color="auto"/>
              <w:left w:val="single" w:sz="8" w:space="0" w:color="auto"/>
              <w:bottom w:val="single" w:sz="8" w:space="0" w:color="auto"/>
              <w:right w:val="single" w:sz="8" w:space="0" w:color="auto"/>
            </w:tcBorders>
            <w:vAlign w:val="center"/>
          </w:tcPr>
          <w:p w14:paraId="04274D0A" w14:textId="11ED2A05" w:rsidR="1B4CFE49" w:rsidRDefault="1B4CFE49" w:rsidP="1B4CFE49">
            <w:pPr>
              <w:jc w:val="center"/>
            </w:pPr>
            <w:r w:rsidRPr="1B4CFE49">
              <w:rPr>
                <w:rFonts w:ascii="Calibri" w:eastAsia="Calibri" w:hAnsi="Calibri" w:cs="Calibri"/>
                <w:sz w:val="18"/>
                <w:szCs w:val="18"/>
              </w:rPr>
              <w:t>N/A</w:t>
            </w:r>
          </w:p>
        </w:tc>
        <w:tc>
          <w:tcPr>
            <w:tcW w:w="1590" w:type="dxa"/>
            <w:tcBorders>
              <w:top w:val="single" w:sz="8" w:space="0" w:color="auto"/>
              <w:left w:val="single" w:sz="8" w:space="0" w:color="auto"/>
              <w:bottom w:val="single" w:sz="8" w:space="0" w:color="auto"/>
              <w:right w:val="single" w:sz="8" w:space="0" w:color="auto"/>
            </w:tcBorders>
            <w:vAlign w:val="center"/>
          </w:tcPr>
          <w:p w14:paraId="4F078607" w14:textId="0078088E" w:rsidR="1B4CFE49" w:rsidRDefault="1B4CFE49" w:rsidP="1B4CFE49">
            <w:pPr>
              <w:jc w:val="center"/>
            </w:pPr>
            <w:r w:rsidRPr="1B4CFE49">
              <w:rPr>
                <w:rFonts w:ascii="Calibri" w:eastAsia="Calibri" w:hAnsi="Calibri" w:cs="Calibri"/>
                <w:sz w:val="18"/>
                <w:szCs w:val="18"/>
              </w:rPr>
              <w:t>3 - 4</w:t>
            </w:r>
          </w:p>
        </w:tc>
        <w:tc>
          <w:tcPr>
            <w:tcW w:w="1425" w:type="dxa"/>
            <w:tcBorders>
              <w:top w:val="single" w:sz="8" w:space="0" w:color="auto"/>
              <w:left w:val="single" w:sz="8" w:space="0" w:color="auto"/>
              <w:bottom w:val="single" w:sz="8" w:space="0" w:color="auto"/>
              <w:right w:val="single" w:sz="8" w:space="0" w:color="auto"/>
            </w:tcBorders>
            <w:vAlign w:val="center"/>
          </w:tcPr>
          <w:p w14:paraId="1442562C" w14:textId="420DE3A5" w:rsidR="1B4CFE49" w:rsidRDefault="1B4CFE49" w:rsidP="1B4CFE49">
            <w:pPr>
              <w:jc w:val="center"/>
            </w:pPr>
            <w:r w:rsidRPr="1B4CFE49">
              <w:rPr>
                <w:rFonts w:ascii="Calibri" w:eastAsia="Calibri" w:hAnsi="Calibri" w:cs="Calibri"/>
                <w:sz w:val="18"/>
                <w:szCs w:val="18"/>
              </w:rPr>
              <w:t>2</w:t>
            </w:r>
          </w:p>
          <w:p w14:paraId="702DEE1C" w14:textId="106C32D2" w:rsidR="1B4CFE49" w:rsidRDefault="1B4CFE49" w:rsidP="1B4CFE49">
            <w:pPr>
              <w:jc w:val="center"/>
            </w:pPr>
            <w:r w:rsidRPr="1B4CFE49">
              <w:rPr>
                <w:rFonts w:ascii="Calibri" w:eastAsia="Calibri" w:hAnsi="Calibri" w:cs="Calibri"/>
                <w:sz w:val="18"/>
                <w:szCs w:val="18"/>
              </w:rPr>
              <w:t>7 a.m. – 4 p.m.</w:t>
            </w:r>
          </w:p>
        </w:tc>
      </w:tr>
    </w:tbl>
    <w:p w14:paraId="672C3123" w14:textId="551DA4A6" w:rsidR="36A2D053" w:rsidRDefault="36A2D053" w:rsidP="36A2D053">
      <w:pPr>
        <w:rPr>
          <w:rFonts w:ascii="Calibri" w:eastAsia="Calibri" w:hAnsi="Calibri" w:cs="Calibri"/>
        </w:rPr>
      </w:pPr>
    </w:p>
    <w:p w14:paraId="60625740" w14:textId="79CBBD11" w:rsidR="36A2D053" w:rsidRDefault="27C61343" w:rsidP="5D0EDCA7">
      <w:pPr>
        <w:rPr>
          <w:rFonts w:ascii="Calibri" w:eastAsia="Calibri" w:hAnsi="Calibri" w:cs="Calibri"/>
        </w:rPr>
      </w:pPr>
      <w:r w:rsidRPr="27C61343">
        <w:rPr>
          <w:rFonts w:ascii="Calibri" w:eastAsia="Calibri" w:hAnsi="Calibri" w:cs="Calibri"/>
        </w:rPr>
        <w:t xml:space="preserve">In addition to the existing recommendations for circadian lighting metrics, </w:t>
      </w:r>
      <w:r w:rsidR="7A70CA9A" w:rsidRPr="361DBF52">
        <w:rPr>
          <w:rFonts w:ascii="Calibri" w:eastAsia="Calibri" w:hAnsi="Calibri" w:cs="Calibri"/>
        </w:rPr>
        <w:t xml:space="preserve">typical </w:t>
      </w:r>
      <w:r w:rsidRPr="27C61343">
        <w:rPr>
          <w:rFonts w:ascii="Calibri" w:eastAsia="Calibri" w:hAnsi="Calibri" w:cs="Calibri"/>
        </w:rPr>
        <w:t xml:space="preserve">IES recommendations for glare control, color rendering, and task illumination were incorporated into the lighting design for the office spaces. </w:t>
      </w:r>
      <w:r w:rsidR="016E4E86" w:rsidRPr="361DBF52">
        <w:rPr>
          <w:rFonts w:ascii="Calibri" w:eastAsia="Calibri" w:hAnsi="Calibri" w:cs="Calibri"/>
        </w:rPr>
        <w:t>These included metrics like horizontal/vertical illuminance, illuminance</w:t>
      </w:r>
      <w:r w:rsidR="466460A3" w:rsidRPr="361DBF52">
        <w:rPr>
          <w:rFonts w:ascii="Calibri" w:eastAsia="Calibri" w:hAnsi="Calibri" w:cs="Calibri"/>
        </w:rPr>
        <w:t>/luminance</w:t>
      </w:r>
      <w:r w:rsidR="016E4E86" w:rsidRPr="361DBF52">
        <w:rPr>
          <w:rFonts w:ascii="Calibri" w:eastAsia="Calibri" w:hAnsi="Calibri" w:cs="Calibri"/>
        </w:rPr>
        <w:t xml:space="preserve"> uniformity ratios,</w:t>
      </w:r>
      <w:r w:rsidR="08B2763E" w:rsidRPr="361DBF52">
        <w:rPr>
          <w:rFonts w:ascii="Calibri" w:eastAsia="Calibri" w:hAnsi="Calibri" w:cs="Calibri"/>
        </w:rPr>
        <w:t xml:space="preserve"> and</w:t>
      </w:r>
      <w:r w:rsidR="016E4E86" w:rsidRPr="361DBF52">
        <w:rPr>
          <w:rFonts w:ascii="Calibri" w:eastAsia="Calibri" w:hAnsi="Calibri" w:cs="Calibri"/>
        </w:rPr>
        <w:t xml:space="preserve"> visual comfort </w:t>
      </w:r>
      <w:r w:rsidR="689371B6" w:rsidRPr="361DBF52">
        <w:rPr>
          <w:rFonts w:ascii="Calibri" w:eastAsia="Calibri" w:hAnsi="Calibri" w:cs="Calibri"/>
        </w:rPr>
        <w:t>probability (VCP)</w:t>
      </w:r>
      <w:r w:rsidR="307AB979" w:rsidRPr="361DBF52">
        <w:rPr>
          <w:rFonts w:ascii="Calibri" w:eastAsia="Calibri" w:hAnsi="Calibri" w:cs="Calibri"/>
        </w:rPr>
        <w:t>.</w:t>
      </w:r>
      <w:r w:rsidR="016E4E86" w:rsidRPr="361DBF52">
        <w:rPr>
          <w:rFonts w:ascii="Calibri" w:eastAsia="Calibri" w:hAnsi="Calibri" w:cs="Calibri"/>
        </w:rPr>
        <w:t xml:space="preserve"> </w:t>
      </w:r>
    </w:p>
    <w:p w14:paraId="000A021F" w14:textId="25DC7CBB" w:rsidR="00D50538" w:rsidRDefault="3EA53C93" w:rsidP="00D50538">
      <w:pPr>
        <w:pStyle w:val="Heading1"/>
        <w:tabs>
          <w:tab w:val="center" w:pos="4680"/>
        </w:tabs>
      </w:pPr>
      <w:r>
        <w:t>Design Process</w:t>
      </w:r>
    </w:p>
    <w:p w14:paraId="0F879F73" w14:textId="77777777" w:rsidR="00155309" w:rsidRDefault="00155309" w:rsidP="00155309">
      <w:pPr>
        <w:pStyle w:val="Heading2"/>
        <w:rPr>
          <w:rFonts w:ascii="Calibri Light" w:hAnsi="Calibri Light"/>
        </w:rPr>
      </w:pPr>
      <w:r w:rsidRPr="068C2DDB">
        <w:rPr>
          <w:rFonts w:ascii="Calibri Light" w:hAnsi="Calibri Light"/>
        </w:rPr>
        <w:t>Design of Experimental Conditions</w:t>
      </w:r>
    </w:p>
    <w:p w14:paraId="60FCBFBD" w14:textId="5B704A4D" w:rsidR="00155309" w:rsidRDefault="00155309" w:rsidP="00155309">
      <w:pPr>
        <w:spacing w:line="257" w:lineRule="auto"/>
        <w:rPr>
          <w:rFonts w:ascii="Calibri" w:eastAsia="Calibri" w:hAnsi="Calibri" w:cs="Calibri"/>
        </w:rPr>
      </w:pPr>
      <w:r w:rsidRPr="27C61343">
        <w:rPr>
          <w:rFonts w:ascii="Calibri" w:eastAsia="Calibri" w:hAnsi="Calibri" w:cs="Calibri"/>
        </w:rPr>
        <w:t xml:space="preserve">The design and research teams worked closely to ensure that the lighting for the Circadian </w:t>
      </w:r>
      <w:r>
        <w:rPr>
          <w:rFonts w:ascii="Calibri" w:eastAsia="Calibri" w:hAnsi="Calibri" w:cs="Calibri"/>
        </w:rPr>
        <w:t xml:space="preserve">Lighting </w:t>
      </w:r>
      <w:r w:rsidRPr="27C61343">
        <w:rPr>
          <w:rFonts w:ascii="Calibri" w:eastAsia="Calibri" w:hAnsi="Calibri" w:cs="Calibri"/>
        </w:rPr>
        <w:t>Pilot Project could also be used for a detailed human factors study. Although the human factors study was not completed due to the global pandemic, planning was nearly complete for a year-long experimental period comparing four lighting conditions to the baseline TLED lighting condition across the two office floors. In addition to evaluating occupant preference and satisfaction of the new lighting system, data regarding occupant health, lifestyle, environmental satisfaction, job satisfaction, and life changes were included to address the holistic nature of the client’s goals. While lighting can play a role in fostering an environment for happy, healthy, and motivated employees, other factors like individual stress level, satisfaction with job duties and management, and thermal comfort can also impact someone’s overall perception of their work environment</w:t>
      </w:r>
      <w:r>
        <w:rPr>
          <w:rFonts w:ascii="Calibri" w:eastAsia="Calibri" w:hAnsi="Calibri" w:cs="Calibri"/>
        </w:rPr>
        <w:t xml:space="preserve">, as illustrated in </w:t>
      </w:r>
      <w:r w:rsidRPr="00065720">
        <w:rPr>
          <w:rFonts w:ascii="Calibri" w:eastAsia="Calibri" w:hAnsi="Calibri" w:cs="Calibri"/>
        </w:rPr>
        <w:fldChar w:fldCharType="begin"/>
      </w:r>
      <w:r w:rsidRPr="00065720">
        <w:rPr>
          <w:rFonts w:ascii="Calibri" w:eastAsia="Calibri" w:hAnsi="Calibri" w:cs="Calibri"/>
        </w:rPr>
        <w:instrText xml:space="preserve"> REF _Ref90646085 \h </w:instrText>
      </w:r>
      <w:r w:rsidR="00065720" w:rsidRPr="00065720">
        <w:rPr>
          <w:rFonts w:ascii="Calibri" w:eastAsia="Calibri" w:hAnsi="Calibri" w:cs="Calibri"/>
        </w:rPr>
        <w:instrText xml:space="preserve"> \* MERGEFORMAT </w:instrText>
      </w:r>
      <w:r w:rsidRPr="00065720">
        <w:rPr>
          <w:rFonts w:ascii="Calibri" w:eastAsia="Calibri" w:hAnsi="Calibri" w:cs="Calibri"/>
        </w:rPr>
      </w:r>
      <w:r w:rsidRPr="00065720">
        <w:rPr>
          <w:rFonts w:ascii="Calibri" w:eastAsia="Calibri" w:hAnsi="Calibri" w:cs="Calibri"/>
        </w:rPr>
        <w:fldChar w:fldCharType="separate"/>
      </w:r>
      <w:r w:rsidR="00065720" w:rsidRPr="00065720">
        <w:t xml:space="preserve">Figure </w:t>
      </w:r>
      <w:r w:rsidR="00065720" w:rsidRPr="00065720">
        <w:rPr>
          <w:noProof/>
        </w:rPr>
        <w:t>3</w:t>
      </w:r>
      <w:r w:rsidRPr="00065720">
        <w:rPr>
          <w:rFonts w:ascii="Calibri" w:eastAsia="Calibri" w:hAnsi="Calibri" w:cs="Calibri"/>
        </w:rPr>
        <w:fldChar w:fldCharType="end"/>
      </w:r>
      <w:r w:rsidR="00D54573">
        <w:rPr>
          <w:rFonts w:ascii="Calibri" w:eastAsia="Calibri" w:hAnsi="Calibri" w:cs="Calibri"/>
        </w:rPr>
        <w:t xml:space="preserve"> </w:t>
      </w:r>
      <w:r w:rsidR="00D54573">
        <w:rPr>
          <w:rFonts w:ascii="Calibri" w:eastAsia="Calibri" w:hAnsi="Calibri" w:cs="Calibri"/>
        </w:rPr>
        <w:fldChar w:fldCharType="begin"/>
      </w:r>
      <w:r w:rsidR="008446D6">
        <w:rPr>
          <w:rFonts w:ascii="Calibri" w:eastAsia="Calibri" w:hAnsi="Calibri" w:cs="Calibri"/>
        </w:rPr>
        <w:instrText xml:space="preserve"> ADDIN EN.CITE &lt;EndNote&gt;&lt;Cite&gt;&lt;Author&gt;Collier&lt;/Author&gt;&lt;Year&gt;2020&lt;/Year&gt;&lt;RecNum&gt;194&lt;/RecNum&gt;&lt;DisplayText&gt;(Collier, Abboushi et al. 2020)&lt;/DisplayText&gt;&lt;record&gt;&lt;rec-number&gt;194&lt;/rec-number&gt;&lt;foreign-keys&gt;&lt;key app="EN" db-id="evaf9eed9pd5e0e59xtvdep80wxesd5tp2fp" timestamp="1640629105"&gt;194&lt;/key&gt;&lt;/foreign-keys&gt;&lt;ref-type name="Conference Paper"&gt;47&lt;/ref-type&gt;&lt;contributors&gt;&lt;authors&gt;&lt;author&gt;Collier, Jessica M.&lt;/author&gt;&lt;author&gt;Abboushi, Belal K.&lt;/author&gt;&lt;author&gt;Davis, Robert G.&lt;/author&gt;&lt;/authors&gt;&lt;/contributors&gt;&lt;titles&gt;&lt;title&gt;Evolving theories of change: Rethinking of the effects of office lighting on occupants&lt;/title&gt;&lt;secondary-title&gt;Conference: Proceedings of the 2020 Illuminating Engineering Society Annual Conference, August 24-28; August 31- September 4, 2020, Virtual&lt;/secondary-title&gt;&lt;/titles&gt;&lt;pages&gt;Medium: X&lt;/pages&gt;&lt;number&gt;PNNL-SA-152957&lt;/number&gt;&lt;dates&gt;&lt;year&gt;2020&lt;/year&gt;&lt;/dates&gt;&lt;pub-location&gt;United States&lt;/pub-location&gt;&lt;urls&gt;&lt;related-urls&gt;&lt;url&gt;https://www.osti.gov/biblio/1811904&lt;/url&gt;&lt;/related-urls&gt;&lt;/urls&gt;&lt;custom1&gt;AC05-76RL01830 2021-08-05&lt;/custom1&gt;&lt;language&gt;English&lt;/language&gt;&lt;/record&gt;&lt;/Cite&gt;&lt;/EndNote&gt;</w:instrText>
      </w:r>
      <w:r w:rsidR="00D54573">
        <w:rPr>
          <w:rFonts w:ascii="Calibri" w:eastAsia="Calibri" w:hAnsi="Calibri" w:cs="Calibri"/>
        </w:rPr>
        <w:fldChar w:fldCharType="separate"/>
      </w:r>
      <w:r w:rsidR="008446D6">
        <w:rPr>
          <w:rFonts w:ascii="Calibri" w:eastAsia="Calibri" w:hAnsi="Calibri" w:cs="Calibri"/>
          <w:noProof/>
        </w:rPr>
        <w:t>(Collier, Abboushi et al. 2020)</w:t>
      </w:r>
      <w:r w:rsidR="00D54573">
        <w:rPr>
          <w:rFonts w:ascii="Calibri" w:eastAsia="Calibri" w:hAnsi="Calibri" w:cs="Calibri"/>
        </w:rPr>
        <w:fldChar w:fldCharType="end"/>
      </w:r>
      <w:r w:rsidRPr="27C61343">
        <w:rPr>
          <w:rFonts w:ascii="Calibri" w:eastAsia="Calibri" w:hAnsi="Calibri" w:cs="Calibri"/>
        </w:rPr>
        <w:t xml:space="preserve">. </w:t>
      </w:r>
    </w:p>
    <w:p w14:paraId="5B54A201" w14:textId="77777777" w:rsidR="00155309" w:rsidRDefault="00155309" w:rsidP="00155309">
      <w:pPr>
        <w:keepNext/>
        <w:spacing w:line="257" w:lineRule="auto"/>
      </w:pPr>
      <w:r>
        <w:rPr>
          <w:noProof/>
        </w:rPr>
        <w:drawing>
          <wp:inline distT="0" distB="0" distL="0" distR="0" wp14:anchorId="36083AC9" wp14:editId="74C40BFB">
            <wp:extent cx="5934076" cy="63627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934076" cy="6362702"/>
                    </a:xfrm>
                    <a:prstGeom prst="rect">
                      <a:avLst/>
                    </a:prstGeom>
                  </pic:spPr>
                </pic:pic>
              </a:graphicData>
            </a:graphic>
          </wp:inline>
        </w:drawing>
      </w:r>
    </w:p>
    <w:p w14:paraId="58D7F33A" w14:textId="02A35080" w:rsidR="00155309" w:rsidRPr="00B02302" w:rsidRDefault="00155309" w:rsidP="00155309">
      <w:pPr>
        <w:pStyle w:val="Caption"/>
        <w:rPr>
          <w:i w:val="0"/>
          <w:iCs w:val="0"/>
          <w:color w:val="000000" w:themeColor="text1"/>
        </w:rPr>
      </w:pPr>
      <w:bookmarkStart w:id="5" w:name="_Ref90646085"/>
      <w:r w:rsidRPr="00847E90">
        <w:rPr>
          <w:b/>
          <w:i w:val="0"/>
          <w:iCs w:val="0"/>
          <w:color w:val="auto"/>
        </w:rPr>
        <w:t xml:space="preserve">Figure </w:t>
      </w:r>
      <w:r w:rsidRPr="00847E90">
        <w:rPr>
          <w:b/>
          <w:i w:val="0"/>
          <w:iCs w:val="0"/>
          <w:color w:val="auto"/>
        </w:rPr>
        <w:fldChar w:fldCharType="begin"/>
      </w:r>
      <w:r w:rsidRPr="00847E90">
        <w:rPr>
          <w:b/>
          <w:i w:val="0"/>
          <w:iCs w:val="0"/>
          <w:color w:val="auto"/>
        </w:rPr>
        <w:instrText xml:space="preserve"> SEQ Figure \* ARABIC </w:instrText>
      </w:r>
      <w:r w:rsidRPr="00847E90">
        <w:rPr>
          <w:b/>
          <w:i w:val="0"/>
          <w:iCs w:val="0"/>
          <w:color w:val="auto"/>
        </w:rPr>
        <w:fldChar w:fldCharType="separate"/>
      </w:r>
      <w:r w:rsidR="00A60E2D">
        <w:rPr>
          <w:b/>
          <w:i w:val="0"/>
          <w:iCs w:val="0"/>
          <w:noProof/>
          <w:color w:val="auto"/>
        </w:rPr>
        <w:t>3</w:t>
      </w:r>
      <w:r w:rsidRPr="00847E90">
        <w:rPr>
          <w:b/>
          <w:i w:val="0"/>
          <w:iCs w:val="0"/>
          <w:color w:val="auto"/>
        </w:rPr>
        <w:fldChar w:fldCharType="end"/>
      </w:r>
      <w:bookmarkEnd w:id="5"/>
      <w:r w:rsidRPr="00847E90">
        <w:rPr>
          <w:b/>
          <w:i w:val="0"/>
          <w:iCs w:val="0"/>
          <w:color w:val="auto"/>
        </w:rPr>
        <w:t>. Theory of change diagram connecting technology specific, electric lighting interventions and related attributes to occupant health, happiness and motivation via functional lighting goals (visual performance, visual environment and NIF responses) and outcomes (task performance, environmental satisfaction, job satisfaction and holistic wellness).</w:t>
      </w:r>
      <w:r w:rsidRPr="00847E90">
        <w:rPr>
          <w:i w:val="0"/>
          <w:iCs w:val="0"/>
          <w:color w:val="auto"/>
        </w:rPr>
        <w:t xml:space="preserve"> The relationships create color-coded pathways that explain how the lighting interventions support outcomes that will lead to the final occupant impact. The dotted lines connected to personal control and visual comfort express additional lighting qualities to be considered, along with other external mediating factors (environmental, workplace, or lifestyle factors), when evaluating how a lighting intervention can influence occupant’s well-being. It is assumed that daylight strategies have been considered, such as side lighting with blinds or shades, and that the electric lighting interventions build on those strategies to achieve the functional lighting goals</w:t>
      </w:r>
      <w:r w:rsidRPr="00075DAD">
        <w:rPr>
          <w:i w:val="0"/>
          <w:iCs w:val="0"/>
          <w:color w:val="auto"/>
        </w:rPr>
        <w:t>.</w:t>
      </w:r>
    </w:p>
    <w:p w14:paraId="6F9AE35D" w14:textId="77777777" w:rsidR="00155309" w:rsidRDefault="00155309" w:rsidP="00155309">
      <w:pPr>
        <w:pStyle w:val="Caption"/>
        <w:rPr>
          <w:rFonts w:ascii="Calibri" w:eastAsia="Calibri" w:hAnsi="Calibri" w:cs="Calibri"/>
        </w:rPr>
      </w:pPr>
    </w:p>
    <w:p w14:paraId="24116B2F" w14:textId="77777777" w:rsidR="00155309" w:rsidRDefault="00155309" w:rsidP="00155309">
      <w:pPr>
        <w:spacing w:line="257" w:lineRule="auto"/>
        <w:rPr>
          <w:rFonts w:ascii="Calibri" w:eastAsia="Calibri" w:hAnsi="Calibri" w:cs="Calibri"/>
        </w:rPr>
      </w:pPr>
      <w:r w:rsidRPr="6AD07C49">
        <w:rPr>
          <w:rFonts w:ascii="Calibri" w:eastAsia="Calibri" w:hAnsi="Calibri" w:cs="Calibri"/>
        </w:rPr>
        <w:t>The four lighting conditions were designed to feature different attributes that, based on relevant research and recommendations, were hypothesized to contribute to environmental satisfaction and physiological well-being. Each lighting condition lasting six weeks was to appear twice on each floor throughout a year timeframe to account for seasonal changes and variable daylight availability. The first</w:t>
      </w:r>
      <w:r>
        <w:rPr>
          <w:rFonts w:ascii="Calibri" w:eastAsia="Calibri" w:hAnsi="Calibri" w:cs="Calibri"/>
        </w:rPr>
        <w:t>, baseline</w:t>
      </w:r>
      <w:r w:rsidRPr="6AD07C49">
        <w:rPr>
          <w:rFonts w:ascii="Calibri" w:eastAsia="Calibri" w:hAnsi="Calibri" w:cs="Calibri"/>
        </w:rPr>
        <w:t xml:space="preserve"> </w:t>
      </w:r>
      <w:r>
        <w:rPr>
          <w:rFonts w:ascii="Calibri" w:eastAsia="Calibri" w:hAnsi="Calibri" w:cs="Calibri"/>
        </w:rPr>
        <w:t xml:space="preserve">condition was a static CCT </w:t>
      </w:r>
      <w:r w:rsidRPr="6AD07C49">
        <w:rPr>
          <w:rFonts w:ascii="Calibri" w:eastAsia="Calibri" w:hAnsi="Calibri" w:cs="Calibri"/>
        </w:rPr>
        <w:t>lighting condition meet</w:t>
      </w:r>
      <w:r>
        <w:rPr>
          <w:rFonts w:ascii="Calibri" w:eastAsia="Calibri" w:hAnsi="Calibri" w:cs="Calibri"/>
        </w:rPr>
        <w:t>ing</w:t>
      </w:r>
      <w:r w:rsidRPr="6AD07C49">
        <w:rPr>
          <w:rFonts w:ascii="Calibri" w:eastAsia="Calibri" w:hAnsi="Calibri" w:cs="Calibri"/>
        </w:rPr>
        <w:t xml:space="preserve"> existing IES recommendations for task performance and visual quality</w:t>
      </w:r>
      <w:r w:rsidRPr="45DB48C2">
        <w:rPr>
          <w:rFonts w:ascii="Calibri" w:eastAsia="Calibri" w:hAnsi="Calibri" w:cs="Calibri"/>
        </w:rPr>
        <w:t>.</w:t>
      </w:r>
      <w:r w:rsidRPr="6AD07C49">
        <w:rPr>
          <w:rFonts w:ascii="Calibri" w:eastAsia="Calibri" w:hAnsi="Calibri" w:cs="Calibri"/>
        </w:rPr>
        <w:t xml:space="preserve"> The second condition </w:t>
      </w:r>
      <w:r w:rsidRPr="45DB48C2">
        <w:rPr>
          <w:rFonts w:ascii="Calibri" w:eastAsia="Calibri" w:hAnsi="Calibri" w:cs="Calibri"/>
        </w:rPr>
        <w:t>added</w:t>
      </w:r>
      <w:r w:rsidRPr="6AD07C49" w:rsidDel="00106D12">
        <w:rPr>
          <w:rFonts w:ascii="Calibri" w:eastAsia="Calibri" w:hAnsi="Calibri" w:cs="Calibri"/>
        </w:rPr>
        <w:t xml:space="preserve"> </w:t>
      </w:r>
      <w:r w:rsidRPr="6AD07C49">
        <w:rPr>
          <w:rFonts w:ascii="Calibri" w:eastAsia="Calibri" w:hAnsi="Calibri" w:cs="Calibri"/>
        </w:rPr>
        <w:t xml:space="preserve">white tuning to </w:t>
      </w:r>
      <w:r>
        <w:rPr>
          <w:rFonts w:ascii="Calibri" w:eastAsia="Calibri" w:hAnsi="Calibri" w:cs="Calibri"/>
        </w:rPr>
        <w:t xml:space="preserve">the baseline </w:t>
      </w:r>
      <w:r w:rsidRPr="45DB48C2">
        <w:rPr>
          <w:rFonts w:ascii="Calibri" w:eastAsia="Calibri" w:hAnsi="Calibri" w:cs="Calibri"/>
        </w:rPr>
        <w:t>condition</w:t>
      </w:r>
      <w:r>
        <w:rPr>
          <w:rFonts w:ascii="Calibri" w:eastAsia="Calibri" w:hAnsi="Calibri" w:cs="Calibri"/>
        </w:rPr>
        <w:t xml:space="preserve"> to evaluate the response to visual cueing and environmental satisfaction associated with automated tunable lighting in the workplace. The last two lighting conditions met WELL and UL health and well-being design recommendations but differ in their approach. One lighting condition was designed to meet the recommendations using a static CCT at maximum output for the entire day, and the other lighting condition utilized color tuning, specifically high CCTs, to deliver the stimulus more efficiently. Additionally, the last lighting condition would only deliver light intended to support occupant well-being for 4 hours a day and would return to a lower intensity output for the rest of the day. The last lighting condition satisfied the recommendations in the most energy efficiency manner, however, more research is required to understand outcomes associated with the duration and timing of exposure. The lighting conditions are summarized in </w:t>
      </w:r>
      <w:r>
        <w:rPr>
          <w:rFonts w:ascii="Calibri" w:eastAsia="Calibri" w:hAnsi="Calibri" w:cs="Calibri"/>
        </w:rPr>
        <w:fldChar w:fldCharType="begin"/>
      </w:r>
      <w:r>
        <w:rPr>
          <w:rFonts w:ascii="Calibri" w:eastAsia="Calibri" w:hAnsi="Calibri" w:cs="Calibri"/>
        </w:rPr>
        <w:instrText xml:space="preserve"> REF _Ref90703933 \h </w:instrText>
      </w:r>
      <w:r>
        <w:rPr>
          <w:rFonts w:ascii="Calibri" w:eastAsia="Calibri" w:hAnsi="Calibri" w:cs="Calibri"/>
        </w:rPr>
      </w:r>
      <w:r>
        <w:rPr>
          <w:rFonts w:ascii="Calibri" w:eastAsia="Calibri" w:hAnsi="Calibri" w:cs="Calibri"/>
        </w:rPr>
        <w:fldChar w:fldCharType="separate"/>
      </w:r>
      <w:r>
        <w:t xml:space="preserve">Table </w:t>
      </w:r>
      <w:r>
        <w:rPr>
          <w:noProof/>
        </w:rPr>
        <w:t>2</w:t>
      </w:r>
      <w:r>
        <w:rPr>
          <w:rFonts w:ascii="Calibri" w:eastAsia="Calibri" w:hAnsi="Calibri" w:cs="Calibri"/>
        </w:rPr>
        <w:fldChar w:fldCharType="end"/>
      </w:r>
      <w:r>
        <w:rPr>
          <w:rFonts w:ascii="Calibri" w:eastAsia="Calibri" w:hAnsi="Calibri" w:cs="Calibri"/>
        </w:rPr>
        <w:t xml:space="preserve"> </w:t>
      </w:r>
      <w:r w:rsidRPr="45DB48C2">
        <w:rPr>
          <w:rFonts w:ascii="Calibri" w:eastAsia="Calibri" w:hAnsi="Calibri" w:cs="Calibri"/>
        </w:rPr>
        <w:t>To seamlessly switch the</w:t>
      </w:r>
      <w:r w:rsidRPr="6AD07C49">
        <w:rPr>
          <w:rFonts w:ascii="Calibri" w:eastAsia="Calibri" w:hAnsi="Calibri" w:cs="Calibri"/>
        </w:rPr>
        <w:t xml:space="preserve"> specific intensity, color, and duration characteristics of the experimental lighting conditions </w:t>
      </w:r>
      <w:r w:rsidRPr="45DB48C2">
        <w:rPr>
          <w:rFonts w:ascii="Calibri" w:eastAsia="Calibri" w:hAnsi="Calibri" w:cs="Calibri"/>
        </w:rPr>
        <w:t>every six weeks,</w:t>
      </w:r>
      <w:r w:rsidRPr="6AD07C49">
        <w:rPr>
          <w:rFonts w:ascii="Calibri" w:eastAsia="Calibri" w:hAnsi="Calibri" w:cs="Calibri"/>
        </w:rPr>
        <w:t xml:space="preserve"> a tunable lighting system </w:t>
      </w:r>
      <w:r w:rsidRPr="45DB48C2">
        <w:rPr>
          <w:rFonts w:ascii="Calibri" w:eastAsia="Calibri" w:hAnsi="Calibri" w:cs="Calibri"/>
        </w:rPr>
        <w:t>was required</w:t>
      </w:r>
      <w:r w:rsidRPr="6AD07C49">
        <w:rPr>
          <w:rFonts w:ascii="Calibri" w:eastAsia="Calibri" w:hAnsi="Calibri" w:cs="Calibri"/>
        </w:rPr>
        <w:t>.</w:t>
      </w:r>
    </w:p>
    <w:p w14:paraId="4B49C26A" w14:textId="6A706529" w:rsidR="00155309" w:rsidRPr="00155309" w:rsidRDefault="00155309" w:rsidP="00155309">
      <w:pPr>
        <w:pStyle w:val="Caption"/>
        <w:keepNext/>
        <w:rPr>
          <w:i w:val="0"/>
          <w:iCs w:val="0"/>
          <w:color w:val="auto"/>
        </w:rPr>
      </w:pPr>
      <w:bookmarkStart w:id="6" w:name="_Ref90703933"/>
      <w:r w:rsidRPr="00155309">
        <w:rPr>
          <w:b/>
          <w:bCs/>
          <w:i w:val="0"/>
          <w:iCs w:val="0"/>
          <w:color w:val="auto"/>
        </w:rPr>
        <w:t xml:space="preserve">Table </w:t>
      </w:r>
      <w:r w:rsidRPr="00155309">
        <w:rPr>
          <w:b/>
          <w:bCs/>
          <w:i w:val="0"/>
          <w:iCs w:val="0"/>
          <w:color w:val="auto"/>
        </w:rPr>
        <w:fldChar w:fldCharType="begin"/>
      </w:r>
      <w:r w:rsidRPr="00155309">
        <w:rPr>
          <w:b/>
          <w:bCs/>
          <w:i w:val="0"/>
          <w:iCs w:val="0"/>
          <w:color w:val="auto"/>
        </w:rPr>
        <w:instrText xml:space="preserve"> SEQ Table \* ARABIC </w:instrText>
      </w:r>
      <w:r w:rsidRPr="00155309">
        <w:rPr>
          <w:b/>
          <w:bCs/>
          <w:i w:val="0"/>
          <w:iCs w:val="0"/>
          <w:color w:val="auto"/>
        </w:rPr>
        <w:fldChar w:fldCharType="separate"/>
      </w:r>
      <w:r w:rsidR="00A60E2D">
        <w:rPr>
          <w:b/>
          <w:bCs/>
          <w:i w:val="0"/>
          <w:iCs w:val="0"/>
          <w:noProof/>
          <w:color w:val="auto"/>
        </w:rPr>
        <w:t>2</w:t>
      </w:r>
      <w:r w:rsidRPr="00155309">
        <w:rPr>
          <w:b/>
          <w:bCs/>
          <w:i w:val="0"/>
          <w:iCs w:val="0"/>
          <w:color w:val="auto"/>
        </w:rPr>
        <w:fldChar w:fldCharType="end"/>
      </w:r>
      <w:bookmarkEnd w:id="6"/>
      <w:r w:rsidRPr="00155309">
        <w:rPr>
          <w:b/>
          <w:bCs/>
          <w:i w:val="0"/>
          <w:iCs w:val="0"/>
          <w:color w:val="auto"/>
        </w:rPr>
        <w:t>. Four experimental lighting conditions</w:t>
      </w:r>
      <w:r>
        <w:rPr>
          <w:b/>
          <w:bCs/>
          <w:i w:val="0"/>
          <w:iCs w:val="0"/>
          <w:color w:val="auto"/>
        </w:rPr>
        <w:t xml:space="preserve"> planned for the Circadian Lighting Pilot Project</w:t>
      </w:r>
      <w:r w:rsidRPr="00155309">
        <w:rPr>
          <w:b/>
          <w:bCs/>
          <w:i w:val="0"/>
          <w:iCs w:val="0"/>
          <w:color w:val="auto"/>
        </w:rPr>
        <w:t>.</w:t>
      </w:r>
      <w:r w:rsidRPr="00155309">
        <w:rPr>
          <w:i w:val="0"/>
          <w:iCs w:val="0"/>
          <w:color w:val="auto"/>
        </w:rPr>
        <w:t xml:space="preserve"> A baseline control condition is compared to three intervention conditions that may or may not satisfy light and health recommendations by varying the light level and CCT delivered to occupants. </w:t>
      </w:r>
    </w:p>
    <w:tbl>
      <w:tblPr>
        <w:tblW w:w="9355" w:type="dxa"/>
        <w:tblLayout w:type="fixed"/>
        <w:tblLook w:val="04A0" w:firstRow="1" w:lastRow="0" w:firstColumn="1" w:lastColumn="0" w:noHBand="0" w:noVBand="1"/>
      </w:tblPr>
      <w:tblGrid>
        <w:gridCol w:w="2340"/>
        <w:gridCol w:w="1753"/>
        <w:gridCol w:w="1754"/>
        <w:gridCol w:w="1754"/>
        <w:gridCol w:w="1754"/>
      </w:tblGrid>
      <w:tr w:rsidR="00155309" w:rsidRPr="009B63C6" w14:paraId="1F949B1E" w14:textId="77777777" w:rsidTr="007841E3">
        <w:trPr>
          <w:trHeight w:val="239"/>
        </w:trPr>
        <w:tc>
          <w:tcPr>
            <w:tcW w:w="2340" w:type="dxa"/>
            <w:tcBorders>
              <w:top w:val="nil"/>
              <w:left w:val="nil"/>
              <w:bottom w:val="nil"/>
              <w:right w:val="nil"/>
            </w:tcBorders>
            <w:shd w:val="clear" w:color="auto" w:fill="auto"/>
            <w:noWrap/>
            <w:vAlign w:val="bottom"/>
            <w:hideMark/>
          </w:tcPr>
          <w:p w14:paraId="67B43C44" w14:textId="77777777" w:rsidR="00155309" w:rsidRPr="009B63C6" w:rsidRDefault="00155309" w:rsidP="007841E3">
            <w:pPr>
              <w:spacing w:after="0" w:line="240" w:lineRule="auto"/>
              <w:rPr>
                <w:rFonts w:ascii="Times New Roman" w:eastAsia="Times New Roman" w:hAnsi="Times New Roman" w:cs="Times New Roman"/>
                <w:sz w:val="24"/>
                <w:szCs w:val="24"/>
              </w:rPr>
            </w:pPr>
          </w:p>
        </w:tc>
        <w:tc>
          <w:tcPr>
            <w:tcW w:w="70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8DBCA" w14:textId="77777777" w:rsidR="00155309" w:rsidRPr="009B63C6" w:rsidRDefault="00155309" w:rsidP="007841E3">
            <w:pPr>
              <w:spacing w:after="0" w:line="240" w:lineRule="auto"/>
              <w:jc w:val="center"/>
              <w:rPr>
                <w:rFonts w:ascii="Calibri" w:eastAsia="Times New Roman" w:hAnsi="Calibri" w:cs="Calibri"/>
                <w:b/>
                <w:bCs/>
                <w:color w:val="000000"/>
              </w:rPr>
            </w:pPr>
            <w:r w:rsidRPr="009B63C6">
              <w:rPr>
                <w:rFonts w:ascii="Calibri" w:eastAsia="Times New Roman" w:hAnsi="Calibri" w:cs="Calibri"/>
                <w:b/>
                <w:bCs/>
                <w:color w:val="000000"/>
              </w:rPr>
              <w:t>Lighting Conditions</w:t>
            </w:r>
          </w:p>
        </w:tc>
      </w:tr>
      <w:tr w:rsidR="00155309" w:rsidRPr="009B63C6" w14:paraId="016B9148" w14:textId="77777777" w:rsidTr="007841E3">
        <w:trPr>
          <w:trHeight w:val="239"/>
        </w:trPr>
        <w:tc>
          <w:tcPr>
            <w:tcW w:w="2340" w:type="dxa"/>
            <w:tcBorders>
              <w:top w:val="nil"/>
              <w:left w:val="nil"/>
              <w:bottom w:val="single" w:sz="4" w:space="0" w:color="auto"/>
              <w:right w:val="nil"/>
            </w:tcBorders>
            <w:shd w:val="clear" w:color="auto" w:fill="auto"/>
            <w:noWrap/>
            <w:vAlign w:val="bottom"/>
            <w:hideMark/>
          </w:tcPr>
          <w:p w14:paraId="230F935C" w14:textId="77777777" w:rsidR="00155309" w:rsidRPr="009B63C6" w:rsidRDefault="00155309" w:rsidP="007841E3">
            <w:pPr>
              <w:spacing w:after="0" w:line="240" w:lineRule="auto"/>
              <w:jc w:val="center"/>
              <w:rPr>
                <w:rFonts w:ascii="Calibri" w:eastAsia="Times New Roman" w:hAnsi="Calibri" w:cs="Calibri"/>
                <w:b/>
                <w:bCs/>
                <w:color w:val="000000"/>
              </w:rPr>
            </w:pPr>
          </w:p>
        </w:tc>
        <w:tc>
          <w:tcPr>
            <w:tcW w:w="1753" w:type="dxa"/>
            <w:tcBorders>
              <w:top w:val="nil"/>
              <w:left w:val="single" w:sz="4" w:space="0" w:color="auto"/>
              <w:bottom w:val="single" w:sz="4" w:space="0" w:color="auto"/>
              <w:right w:val="single" w:sz="4" w:space="0" w:color="auto"/>
            </w:tcBorders>
            <w:shd w:val="clear" w:color="auto" w:fill="auto"/>
            <w:noWrap/>
            <w:vAlign w:val="bottom"/>
            <w:hideMark/>
          </w:tcPr>
          <w:p w14:paraId="2794F283" w14:textId="77777777" w:rsidR="00155309" w:rsidRDefault="00155309" w:rsidP="007841E3">
            <w:pPr>
              <w:spacing w:after="0" w:line="240" w:lineRule="auto"/>
              <w:jc w:val="center"/>
              <w:rPr>
                <w:rFonts w:ascii="Calibri" w:eastAsia="Times New Roman" w:hAnsi="Calibri" w:cs="Calibri"/>
                <w:b/>
                <w:bCs/>
                <w:color w:val="000000"/>
              </w:rPr>
            </w:pPr>
            <w:r w:rsidRPr="009B63C6">
              <w:rPr>
                <w:rFonts w:ascii="Calibri" w:eastAsia="Times New Roman" w:hAnsi="Calibri" w:cs="Calibri"/>
                <w:b/>
                <w:bCs/>
                <w:color w:val="000000"/>
              </w:rPr>
              <w:t>Baseline</w:t>
            </w:r>
            <w:r>
              <w:rPr>
                <w:rFonts w:ascii="Calibri" w:eastAsia="Times New Roman" w:hAnsi="Calibri" w:cs="Calibri"/>
                <w:b/>
                <w:bCs/>
                <w:color w:val="000000"/>
              </w:rPr>
              <w:t>,</w:t>
            </w:r>
            <w:r w:rsidRPr="009B63C6">
              <w:rPr>
                <w:rFonts w:ascii="Calibri" w:eastAsia="Times New Roman" w:hAnsi="Calibri" w:cs="Calibri"/>
                <w:b/>
                <w:bCs/>
                <w:color w:val="000000"/>
              </w:rPr>
              <w:t xml:space="preserve"> </w:t>
            </w:r>
          </w:p>
          <w:p w14:paraId="18284703" w14:textId="77777777" w:rsidR="00155309" w:rsidRPr="009B63C6" w:rsidRDefault="00155309" w:rsidP="007841E3">
            <w:pPr>
              <w:spacing w:after="0" w:line="240" w:lineRule="auto"/>
              <w:jc w:val="center"/>
              <w:rPr>
                <w:rFonts w:ascii="Calibri" w:eastAsia="Times New Roman" w:hAnsi="Calibri" w:cs="Calibri"/>
                <w:b/>
                <w:bCs/>
                <w:color w:val="000000"/>
              </w:rPr>
            </w:pPr>
            <w:r w:rsidRPr="009B63C6">
              <w:rPr>
                <w:rFonts w:ascii="Calibri" w:eastAsia="Times New Roman" w:hAnsi="Calibri" w:cs="Calibri"/>
                <w:b/>
                <w:bCs/>
                <w:color w:val="000000"/>
              </w:rPr>
              <w:t>Visual</w:t>
            </w:r>
            <w:r>
              <w:rPr>
                <w:rFonts w:ascii="Calibri" w:eastAsia="Times New Roman" w:hAnsi="Calibri" w:cs="Calibri"/>
                <w:b/>
                <w:bCs/>
                <w:color w:val="000000"/>
              </w:rPr>
              <w:t xml:space="preserve"> Only</w:t>
            </w:r>
          </w:p>
        </w:tc>
        <w:tc>
          <w:tcPr>
            <w:tcW w:w="1754" w:type="dxa"/>
            <w:tcBorders>
              <w:top w:val="nil"/>
              <w:left w:val="nil"/>
              <w:bottom w:val="single" w:sz="4" w:space="0" w:color="auto"/>
              <w:right w:val="single" w:sz="4" w:space="0" w:color="auto"/>
            </w:tcBorders>
            <w:shd w:val="clear" w:color="auto" w:fill="auto"/>
            <w:noWrap/>
            <w:vAlign w:val="bottom"/>
            <w:hideMark/>
          </w:tcPr>
          <w:p w14:paraId="5C38F323" w14:textId="77777777" w:rsidR="00155309" w:rsidRDefault="00155309" w:rsidP="007841E3">
            <w:pPr>
              <w:spacing w:after="0" w:line="240" w:lineRule="auto"/>
              <w:jc w:val="center"/>
              <w:rPr>
                <w:rFonts w:ascii="Calibri" w:eastAsia="Times New Roman" w:hAnsi="Calibri" w:cs="Calibri"/>
                <w:b/>
                <w:bCs/>
                <w:color w:val="000000"/>
              </w:rPr>
            </w:pPr>
            <w:r w:rsidRPr="009B63C6">
              <w:rPr>
                <w:rFonts w:ascii="Calibri" w:eastAsia="Times New Roman" w:hAnsi="Calibri" w:cs="Calibri"/>
                <w:b/>
                <w:bCs/>
                <w:color w:val="000000"/>
              </w:rPr>
              <w:t>Dynamic</w:t>
            </w:r>
            <w:r>
              <w:rPr>
                <w:rFonts w:ascii="Calibri" w:eastAsia="Times New Roman" w:hAnsi="Calibri" w:cs="Calibri"/>
                <w:b/>
                <w:bCs/>
                <w:color w:val="000000"/>
              </w:rPr>
              <w:t>,</w:t>
            </w:r>
          </w:p>
          <w:p w14:paraId="0FD476A3" w14:textId="77777777" w:rsidR="00155309" w:rsidRPr="009B63C6" w:rsidRDefault="00155309" w:rsidP="007841E3">
            <w:pPr>
              <w:spacing w:after="0" w:line="240" w:lineRule="auto"/>
              <w:jc w:val="center"/>
              <w:rPr>
                <w:rFonts w:ascii="Calibri" w:eastAsia="Times New Roman" w:hAnsi="Calibri" w:cs="Calibri"/>
                <w:b/>
                <w:bCs/>
                <w:color w:val="000000"/>
              </w:rPr>
            </w:pPr>
            <w:r w:rsidRPr="009B63C6">
              <w:rPr>
                <w:rFonts w:ascii="Calibri" w:eastAsia="Times New Roman" w:hAnsi="Calibri" w:cs="Calibri"/>
                <w:b/>
                <w:bCs/>
                <w:color w:val="000000"/>
              </w:rPr>
              <w:t xml:space="preserve"> Visual</w:t>
            </w:r>
            <w:r>
              <w:rPr>
                <w:rFonts w:ascii="Calibri" w:eastAsia="Times New Roman" w:hAnsi="Calibri" w:cs="Calibri"/>
                <w:b/>
                <w:bCs/>
                <w:color w:val="000000"/>
              </w:rPr>
              <w:t xml:space="preserve"> Only</w:t>
            </w:r>
          </w:p>
        </w:tc>
        <w:tc>
          <w:tcPr>
            <w:tcW w:w="1754" w:type="dxa"/>
            <w:tcBorders>
              <w:top w:val="nil"/>
              <w:left w:val="nil"/>
              <w:bottom w:val="single" w:sz="4" w:space="0" w:color="auto"/>
              <w:right w:val="single" w:sz="4" w:space="0" w:color="auto"/>
            </w:tcBorders>
            <w:shd w:val="clear" w:color="auto" w:fill="auto"/>
            <w:noWrap/>
            <w:vAlign w:val="bottom"/>
            <w:hideMark/>
          </w:tcPr>
          <w:p w14:paraId="64D7F46C" w14:textId="77777777" w:rsidR="00155309" w:rsidRDefault="00155309" w:rsidP="007841E3">
            <w:pPr>
              <w:spacing w:after="0" w:line="240" w:lineRule="auto"/>
              <w:jc w:val="center"/>
              <w:rPr>
                <w:rFonts w:ascii="Calibri" w:eastAsia="Times New Roman" w:hAnsi="Calibri" w:cs="Calibri"/>
                <w:b/>
                <w:bCs/>
                <w:color w:val="000000"/>
              </w:rPr>
            </w:pPr>
            <w:r w:rsidRPr="009B63C6">
              <w:rPr>
                <w:rFonts w:ascii="Calibri" w:eastAsia="Times New Roman" w:hAnsi="Calibri" w:cs="Calibri"/>
                <w:b/>
                <w:bCs/>
                <w:color w:val="000000"/>
              </w:rPr>
              <w:t>Static</w:t>
            </w:r>
            <w:r>
              <w:rPr>
                <w:rFonts w:ascii="Calibri" w:eastAsia="Times New Roman" w:hAnsi="Calibri" w:cs="Calibri"/>
                <w:b/>
                <w:bCs/>
                <w:color w:val="000000"/>
              </w:rPr>
              <w:t>,</w:t>
            </w:r>
          </w:p>
          <w:p w14:paraId="4BC8CFB1" w14:textId="77777777" w:rsidR="00155309" w:rsidRPr="009B63C6" w:rsidRDefault="00155309" w:rsidP="007841E3">
            <w:pPr>
              <w:spacing w:after="0" w:line="240" w:lineRule="auto"/>
              <w:jc w:val="center"/>
              <w:rPr>
                <w:rFonts w:ascii="Calibri" w:eastAsia="Times New Roman" w:hAnsi="Calibri" w:cs="Calibri"/>
                <w:b/>
                <w:bCs/>
                <w:color w:val="000000"/>
              </w:rPr>
            </w:pPr>
            <w:r w:rsidRPr="009B63C6">
              <w:rPr>
                <w:rFonts w:ascii="Calibri" w:eastAsia="Times New Roman" w:hAnsi="Calibri" w:cs="Calibri"/>
                <w:b/>
                <w:bCs/>
                <w:color w:val="000000"/>
              </w:rPr>
              <w:t>Wellness</w:t>
            </w:r>
          </w:p>
        </w:tc>
        <w:tc>
          <w:tcPr>
            <w:tcW w:w="1754" w:type="dxa"/>
            <w:tcBorders>
              <w:top w:val="nil"/>
              <w:left w:val="nil"/>
              <w:bottom w:val="single" w:sz="4" w:space="0" w:color="auto"/>
              <w:right w:val="single" w:sz="4" w:space="0" w:color="auto"/>
            </w:tcBorders>
            <w:shd w:val="clear" w:color="auto" w:fill="auto"/>
            <w:noWrap/>
            <w:vAlign w:val="bottom"/>
            <w:hideMark/>
          </w:tcPr>
          <w:p w14:paraId="71D487D3" w14:textId="77777777" w:rsidR="00155309" w:rsidRPr="009B63C6" w:rsidRDefault="00155309" w:rsidP="007841E3">
            <w:pPr>
              <w:spacing w:after="0" w:line="240" w:lineRule="auto"/>
              <w:jc w:val="center"/>
              <w:rPr>
                <w:rFonts w:ascii="Calibri" w:eastAsia="Times New Roman" w:hAnsi="Calibri" w:cs="Calibri"/>
                <w:b/>
                <w:bCs/>
                <w:color w:val="000000"/>
              </w:rPr>
            </w:pPr>
            <w:r w:rsidRPr="009B63C6">
              <w:rPr>
                <w:rFonts w:ascii="Calibri" w:eastAsia="Times New Roman" w:hAnsi="Calibri" w:cs="Calibri"/>
                <w:b/>
                <w:bCs/>
                <w:color w:val="000000"/>
              </w:rPr>
              <w:t>Dynamic</w:t>
            </w:r>
            <w:r>
              <w:rPr>
                <w:rFonts w:ascii="Calibri" w:eastAsia="Times New Roman" w:hAnsi="Calibri" w:cs="Calibri"/>
                <w:b/>
                <w:bCs/>
                <w:color w:val="000000"/>
              </w:rPr>
              <w:t>,</w:t>
            </w:r>
            <w:r w:rsidRPr="009B63C6">
              <w:rPr>
                <w:rFonts w:ascii="Calibri" w:eastAsia="Times New Roman" w:hAnsi="Calibri" w:cs="Calibri"/>
                <w:b/>
                <w:bCs/>
                <w:color w:val="000000"/>
              </w:rPr>
              <w:t xml:space="preserve"> Wellness</w:t>
            </w:r>
          </w:p>
        </w:tc>
      </w:tr>
      <w:tr w:rsidR="00155309" w:rsidRPr="009B63C6" w14:paraId="5C3325EF" w14:textId="77777777" w:rsidTr="007841E3">
        <w:trPr>
          <w:trHeight w:val="611"/>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6B132BA" w14:textId="77777777" w:rsidR="00155309" w:rsidRPr="009B63C6" w:rsidRDefault="00155309" w:rsidP="007841E3">
            <w:pPr>
              <w:spacing w:after="0" w:line="240" w:lineRule="auto"/>
              <w:rPr>
                <w:rFonts w:ascii="Calibri" w:eastAsia="Times New Roman" w:hAnsi="Calibri" w:cs="Calibri"/>
                <w:b/>
                <w:bCs/>
                <w:color w:val="000000"/>
              </w:rPr>
            </w:pPr>
            <w:r w:rsidRPr="009B63C6">
              <w:rPr>
                <w:rFonts w:ascii="Calibri" w:eastAsia="Times New Roman" w:hAnsi="Calibri" w:cs="Calibri"/>
                <w:b/>
                <w:bCs/>
                <w:color w:val="000000"/>
              </w:rPr>
              <w:t>Meet</w:t>
            </w:r>
            <w:r>
              <w:rPr>
                <w:rFonts w:ascii="Calibri" w:eastAsia="Times New Roman" w:hAnsi="Calibri" w:cs="Calibri"/>
                <w:b/>
                <w:bCs/>
                <w:color w:val="000000"/>
              </w:rPr>
              <w:t xml:space="preserve"> </w:t>
            </w:r>
            <w:r w:rsidRPr="009B63C6">
              <w:rPr>
                <w:rFonts w:ascii="Calibri" w:eastAsia="Times New Roman" w:hAnsi="Calibri" w:cs="Calibri"/>
                <w:b/>
                <w:bCs/>
                <w:color w:val="000000"/>
              </w:rPr>
              <w:t>Light</w:t>
            </w:r>
            <w:r>
              <w:rPr>
                <w:rFonts w:ascii="Calibri" w:eastAsia="Times New Roman" w:hAnsi="Calibri" w:cs="Calibri"/>
                <w:b/>
                <w:bCs/>
                <w:color w:val="000000"/>
              </w:rPr>
              <w:t xml:space="preserve"> and </w:t>
            </w:r>
            <w:r w:rsidRPr="009B63C6">
              <w:rPr>
                <w:rFonts w:ascii="Calibri" w:eastAsia="Times New Roman" w:hAnsi="Calibri" w:cs="Calibri"/>
                <w:b/>
                <w:bCs/>
                <w:color w:val="000000"/>
              </w:rPr>
              <w:t>Health Recommendations</w:t>
            </w:r>
          </w:p>
        </w:tc>
        <w:tc>
          <w:tcPr>
            <w:tcW w:w="1753" w:type="dxa"/>
            <w:tcBorders>
              <w:top w:val="single" w:sz="4" w:space="0" w:color="auto"/>
              <w:left w:val="nil"/>
              <w:bottom w:val="single" w:sz="4" w:space="0" w:color="auto"/>
              <w:right w:val="single" w:sz="4" w:space="0" w:color="auto"/>
            </w:tcBorders>
            <w:shd w:val="clear" w:color="auto" w:fill="auto"/>
            <w:vAlign w:val="center"/>
          </w:tcPr>
          <w:p w14:paraId="26F3CC8F"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No</w:t>
            </w:r>
          </w:p>
        </w:tc>
        <w:tc>
          <w:tcPr>
            <w:tcW w:w="1754" w:type="dxa"/>
            <w:tcBorders>
              <w:top w:val="single" w:sz="4" w:space="0" w:color="auto"/>
              <w:left w:val="nil"/>
              <w:bottom w:val="single" w:sz="4" w:space="0" w:color="auto"/>
              <w:right w:val="single" w:sz="4" w:space="0" w:color="auto"/>
            </w:tcBorders>
            <w:shd w:val="clear" w:color="auto" w:fill="auto"/>
            <w:vAlign w:val="center"/>
          </w:tcPr>
          <w:p w14:paraId="71FB57C2"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No</w:t>
            </w:r>
          </w:p>
        </w:tc>
        <w:tc>
          <w:tcPr>
            <w:tcW w:w="1754" w:type="dxa"/>
            <w:tcBorders>
              <w:top w:val="single" w:sz="4" w:space="0" w:color="auto"/>
              <w:left w:val="nil"/>
              <w:bottom w:val="single" w:sz="4" w:space="0" w:color="auto"/>
              <w:right w:val="single" w:sz="4" w:space="0" w:color="auto"/>
            </w:tcBorders>
            <w:shd w:val="clear" w:color="auto" w:fill="auto"/>
            <w:vAlign w:val="center"/>
          </w:tcPr>
          <w:p w14:paraId="5262B2D0"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Yes</w:t>
            </w:r>
          </w:p>
        </w:tc>
        <w:tc>
          <w:tcPr>
            <w:tcW w:w="1754" w:type="dxa"/>
            <w:tcBorders>
              <w:top w:val="single" w:sz="4" w:space="0" w:color="auto"/>
              <w:left w:val="nil"/>
              <w:bottom w:val="single" w:sz="4" w:space="0" w:color="auto"/>
              <w:right w:val="single" w:sz="4" w:space="0" w:color="auto"/>
            </w:tcBorders>
            <w:shd w:val="clear" w:color="auto" w:fill="auto"/>
            <w:vAlign w:val="center"/>
          </w:tcPr>
          <w:p w14:paraId="2F72A510"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Yes</w:t>
            </w:r>
          </w:p>
        </w:tc>
      </w:tr>
      <w:tr w:rsidR="00155309" w:rsidRPr="009B63C6" w14:paraId="4CCC8C5B" w14:textId="77777777" w:rsidTr="007841E3">
        <w:trPr>
          <w:trHeight w:val="947"/>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33AD6" w14:textId="77777777" w:rsidR="00155309" w:rsidRPr="009B63C6" w:rsidRDefault="00155309" w:rsidP="007841E3">
            <w:pPr>
              <w:spacing w:after="0" w:line="240" w:lineRule="auto"/>
              <w:rPr>
                <w:rFonts w:ascii="Calibri" w:eastAsia="Times New Roman" w:hAnsi="Calibri" w:cs="Calibri"/>
                <w:b/>
                <w:bCs/>
                <w:color w:val="000000"/>
              </w:rPr>
            </w:pPr>
            <w:r w:rsidRPr="009B63C6">
              <w:rPr>
                <w:rFonts w:ascii="Calibri" w:eastAsia="Times New Roman" w:hAnsi="Calibri" w:cs="Calibri"/>
                <w:b/>
                <w:bCs/>
                <w:color w:val="000000"/>
              </w:rPr>
              <w:t>Light Level</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7B34E4A0"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IES recommended light levels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733D9DE"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IES recommended light levels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B39EA58"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High intensity</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57E023DC"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High i</w:t>
            </w:r>
            <w:r>
              <w:rPr>
                <w:rFonts w:ascii="Calibri" w:eastAsia="Times New Roman" w:hAnsi="Calibri" w:cs="Calibri"/>
                <w:color w:val="000000"/>
              </w:rPr>
              <w:t>ntensity 4</w:t>
            </w:r>
            <w:r w:rsidRPr="009B63C6">
              <w:rPr>
                <w:rFonts w:ascii="Calibri" w:eastAsia="Times New Roman" w:hAnsi="Calibri" w:cs="Calibri"/>
                <w:color w:val="000000"/>
              </w:rPr>
              <w:t xml:space="preserve"> hours per day</w:t>
            </w:r>
          </w:p>
        </w:tc>
      </w:tr>
      <w:tr w:rsidR="00155309" w:rsidRPr="009B63C6" w14:paraId="601DDAB3" w14:textId="77777777" w:rsidTr="007841E3">
        <w:trPr>
          <w:trHeight w:val="947"/>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16C4D" w14:textId="77777777" w:rsidR="00155309" w:rsidRPr="009B63C6" w:rsidRDefault="00155309" w:rsidP="007841E3">
            <w:pPr>
              <w:spacing w:after="0" w:line="240" w:lineRule="auto"/>
              <w:rPr>
                <w:rFonts w:ascii="Calibri" w:eastAsia="Times New Roman" w:hAnsi="Calibri" w:cs="Calibri"/>
                <w:b/>
                <w:bCs/>
                <w:color w:val="000000"/>
              </w:rPr>
            </w:pPr>
            <w:r w:rsidRPr="009B63C6">
              <w:rPr>
                <w:rFonts w:ascii="Calibri" w:eastAsia="Times New Roman" w:hAnsi="Calibri" w:cs="Calibri"/>
                <w:b/>
                <w:bCs/>
                <w:color w:val="000000"/>
              </w:rPr>
              <w:t>Color Tuning</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14:paraId="2914BFBC"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Static CCT</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1C0C4925"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Dynamic CCT</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1E5ECC9C"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Static CCT</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35DC510B" w14:textId="77777777" w:rsidR="00155309" w:rsidRPr="009B63C6" w:rsidRDefault="00155309" w:rsidP="007841E3">
            <w:pPr>
              <w:spacing w:after="0" w:line="240" w:lineRule="auto"/>
              <w:rPr>
                <w:rFonts w:ascii="Calibri" w:eastAsia="Times New Roman" w:hAnsi="Calibri" w:cs="Calibri"/>
                <w:color w:val="000000"/>
              </w:rPr>
            </w:pPr>
            <w:r w:rsidRPr="009B63C6">
              <w:rPr>
                <w:rFonts w:ascii="Calibri" w:eastAsia="Times New Roman" w:hAnsi="Calibri" w:cs="Calibri"/>
                <w:color w:val="000000"/>
              </w:rPr>
              <w:t>Dynamic CCT</w:t>
            </w:r>
          </w:p>
        </w:tc>
      </w:tr>
    </w:tbl>
    <w:p w14:paraId="745BFEB5" w14:textId="77777777" w:rsidR="00155309" w:rsidRDefault="00155309" w:rsidP="00155309">
      <w:pPr>
        <w:spacing w:line="257" w:lineRule="auto"/>
        <w:rPr>
          <w:rFonts w:ascii="Calibri" w:eastAsia="Calibri" w:hAnsi="Calibri" w:cs="Calibri"/>
        </w:rPr>
      </w:pPr>
    </w:p>
    <w:p w14:paraId="0847655C" w14:textId="77777777" w:rsidR="00155309" w:rsidRDefault="00155309" w:rsidP="00155309">
      <w:pPr>
        <w:spacing w:line="257" w:lineRule="auto"/>
        <w:rPr>
          <w:rFonts w:ascii="Calibri" w:eastAsia="Calibri" w:hAnsi="Calibri" w:cs="Calibri"/>
        </w:rPr>
      </w:pPr>
      <w:r w:rsidRPr="6AD07C49">
        <w:rPr>
          <w:rFonts w:ascii="Calibri" w:eastAsia="Calibri" w:hAnsi="Calibri" w:cs="Calibri"/>
        </w:rPr>
        <w:t xml:space="preserve">Throughout the human factors study, data collection was to include several standardized surveys including the Patient Reported Outcomes Measurement Information System (PROMIS) Sleep Disturbance and Sleep Related Impairments questionnaires to assess daytime sleepiness and nighttime sleep disturbances as well as the Warwick-Edinburgh Mental Wellbeing Scale (WEMWBS) to assess mood and perceived stress. In addition, the research team developed shorter questionnaires known as Ecological Momentary Assessments (EMAs) to capture “in the moment” responses to a small number of questions regarding elements of the indoor environment such as satisfaction with different aspects of the lighting conditions, temperature, or noise. Lastly, participants were to be prompted with EMAs regarding their alertness, mood, and motivation to complete their current task. </w:t>
      </w:r>
      <w:r>
        <w:tab/>
      </w:r>
    </w:p>
    <w:p w14:paraId="399048C3" w14:textId="22DD7CA3" w:rsidR="3EA53C93" w:rsidRDefault="3EA53C93" w:rsidP="3EA53C93">
      <w:pPr>
        <w:pStyle w:val="Heading2"/>
        <w:tabs>
          <w:tab w:val="center" w:pos="4680"/>
        </w:tabs>
        <w:rPr>
          <w:rFonts w:ascii="Calibri Light" w:hAnsi="Calibri Light"/>
        </w:rPr>
      </w:pPr>
      <w:r w:rsidRPr="3EA53C93">
        <w:rPr>
          <w:rFonts w:ascii="Calibri Light" w:hAnsi="Calibri Light"/>
        </w:rPr>
        <w:t>Lighting Design</w:t>
      </w:r>
    </w:p>
    <w:p w14:paraId="5293C054" w14:textId="0E1CAA36" w:rsidR="051759A0" w:rsidRDefault="00065720" w:rsidP="00A02ABA">
      <w:pPr>
        <w:rPr>
          <w:rFonts w:ascii="Calibri" w:eastAsia="Calibri" w:hAnsi="Calibri" w:cs="Calibri"/>
        </w:rPr>
      </w:pPr>
      <w:r>
        <w:t>Once the experimental lighting conditions were established, a</w:t>
      </w:r>
      <w:r w:rsidR="1B4CFE49">
        <w:t xml:space="preserve"> balancing act was required to meet the circadian lighting design goals of the project while complying with code and industry recommendations for glare control, color rendering, and task illumination levels. </w:t>
      </w:r>
      <w:r w:rsidR="1B4CFE49" w:rsidRPr="1B4CFE49">
        <w:rPr>
          <w:rFonts w:ascii="Calibri" w:eastAsia="Calibri" w:hAnsi="Calibri" w:cs="Calibri"/>
        </w:rPr>
        <w:t xml:space="preserve">Due to inconsistent daylight penetration within the project space because of adjacent buildings, as well as Chicago’s large number of dark, overcast winter days, the project team sought to design the electric lighting system capable of complying with the applicable lighting recommendations without the benefit of daylight contributions. Although this was understood to be a ‘worst case scenario’ in terms of lighting power, it was also anticipated </w:t>
      </w:r>
      <w:r>
        <w:rPr>
          <w:rFonts w:ascii="Calibri" w:eastAsia="Calibri" w:hAnsi="Calibri" w:cs="Calibri"/>
        </w:rPr>
        <w:t>implementation of</w:t>
      </w:r>
      <w:r w:rsidR="1B4CFE49" w:rsidRPr="1B4CFE49">
        <w:rPr>
          <w:rFonts w:ascii="Calibri" w:eastAsia="Calibri" w:hAnsi="Calibri" w:cs="Calibri"/>
        </w:rPr>
        <w:t xml:space="preserve"> daylight responsive controls and intensity setbacks </w:t>
      </w:r>
      <w:r>
        <w:rPr>
          <w:rFonts w:ascii="Calibri" w:eastAsia="Calibri" w:hAnsi="Calibri" w:cs="Calibri"/>
        </w:rPr>
        <w:t>during the</w:t>
      </w:r>
      <w:r w:rsidR="1B4CFE49" w:rsidRPr="1B4CFE49">
        <w:rPr>
          <w:rFonts w:ascii="Calibri" w:eastAsia="Calibri" w:hAnsi="Calibri" w:cs="Calibri"/>
        </w:rPr>
        <w:t xml:space="preserve"> </w:t>
      </w:r>
      <w:r>
        <w:rPr>
          <w:rFonts w:ascii="Calibri" w:eastAsia="Calibri" w:hAnsi="Calibri" w:cs="Calibri"/>
        </w:rPr>
        <w:t xml:space="preserve">periods where circadian lighting metrics were not a priority </w:t>
      </w:r>
      <w:r w:rsidR="1B4CFE49" w:rsidRPr="1B4CFE49">
        <w:rPr>
          <w:rFonts w:ascii="Calibri" w:eastAsia="Calibri" w:hAnsi="Calibri" w:cs="Calibri"/>
        </w:rPr>
        <w:t>would reduce actual energy consumption from the connected load baseline.</w:t>
      </w:r>
    </w:p>
    <w:p w14:paraId="129C47DA" w14:textId="38FBEA68" w:rsidR="003A6750" w:rsidRDefault="6AD07C49" w:rsidP="051759A0">
      <w:r>
        <w:t>The WELL v2 2019 Q2 and UL Design Guideline 24480 circadian lighting recommendations call for vertical light levels at occupant eye-level that are higher than what is achieved when solely meeting IES recommendations for horizontal work plane illuminance</w:t>
      </w:r>
      <w:r w:rsidR="002D7634">
        <w:t xml:space="preserve"> </w:t>
      </w:r>
      <w:r w:rsidR="002D7634">
        <w:fldChar w:fldCharType="begin"/>
      </w:r>
      <w:r w:rsidR="008446D6">
        <w:instrText xml:space="preserve"> ADDIN EN.CITE &lt;EndNote&gt;&lt;Cite&gt;&lt;Author&gt;Safranek&lt;/Author&gt;&lt;Year&gt;2020&lt;/Year&gt;&lt;RecNum&gt;176&lt;/RecNum&gt;&lt;DisplayText&gt;(Safranek, Collier et al. 2020)&lt;/DisplayText&gt;&lt;record&gt;&lt;rec-number&gt;176&lt;/rec-number&gt;&lt;foreign-keys&gt;&lt;key app="EN" db-id="evaf9eed9pd5e0e59xtvdep80wxesd5tp2fp" timestamp="1601500094"&gt;176&lt;/key&gt;&lt;/foreign-keys&gt;&lt;ref-type name="Journal Article"&gt;17&lt;/ref-type&gt;&lt;contributors&gt;&lt;authors&gt;&lt;author&gt;Safranek, Sarah&lt;/author&gt;&lt;author&gt;Collier, Jessica M.&lt;/author&gt;&lt;author&gt;Wilkerson, Andrea&lt;/author&gt;&lt;author&gt;Davis, Robert G.&lt;/author&gt;&lt;/authors&gt;&lt;/contributors&gt;&lt;titles&gt;&lt;title&gt;Energy impact of human health and wellness lighting recommendations for office and classroom applications&lt;/title&gt;&lt;secondary-title&gt;Energy and Buildings&lt;/secondary-title&gt;&lt;/titles&gt;&lt;periodical&gt;&lt;full-title&gt;Energy and Buildings&lt;/full-title&gt;&lt;/periodical&gt;&lt;pages&gt;110365&lt;/pages&gt;&lt;volume&gt;226&lt;/volume&gt;&lt;dates&gt;&lt;year&gt;2020&lt;/year&gt;&lt;/dates&gt;&lt;isbn&gt;03787788&lt;/isbn&gt;&lt;urls&gt;&lt;/urls&gt;&lt;electronic-resource-num&gt;10.1016/j.enbuild.2020.110365&lt;/electronic-resource-num&gt;&lt;/record&gt;&lt;/Cite&gt;&lt;/EndNote&gt;</w:instrText>
      </w:r>
      <w:r w:rsidR="002D7634">
        <w:fldChar w:fldCharType="separate"/>
      </w:r>
      <w:r w:rsidR="008446D6">
        <w:rPr>
          <w:noProof/>
        </w:rPr>
        <w:t>(Safranek, Collier et al. 2020)</w:t>
      </w:r>
      <w:r w:rsidR="002D7634">
        <w:fldChar w:fldCharType="end"/>
      </w:r>
      <w:r>
        <w:t xml:space="preserve">. </w:t>
      </w:r>
      <w:commentRangeStart w:id="7"/>
      <w:r>
        <w:t xml:space="preserve">As a result, the design team looked to utilize a direct/indirect lighting distribution with separate control of the direct and indirect components. </w:t>
      </w:r>
      <w:commentRangeEnd w:id="7"/>
      <w:r w:rsidR="00B863C0">
        <w:rPr>
          <w:rStyle w:val="CommentReference"/>
        </w:rPr>
        <w:commentReference w:id="7"/>
      </w:r>
      <w:r>
        <w:t xml:space="preserve">With glare control being an important consideration for occupant comfort, the indirect illumination, as well as wall illumination, was key to increasing overall light levels while decreasing visible lens brightness and balancing contrast ratios to meet IES recommendations. </w:t>
      </w:r>
    </w:p>
    <w:p w14:paraId="544C25F7" w14:textId="58039BDC" w:rsidR="00B152A5" w:rsidRPr="00937FA1" w:rsidRDefault="6AD07C49" w:rsidP="051759A0">
      <w:r>
        <w:t xml:space="preserve">Due to the limited ceiling heights, Lambertian downlight distributions caused high illumination levels at the task plane when meeting the vertical illumination targets </w:t>
      </w:r>
      <w:r w:rsidR="00847E90">
        <w:t>needed for also meeting circadian lighting metrics</w:t>
      </w:r>
      <w:r>
        <w:t xml:space="preserve">, while Lambertian uplight distributions caused non-uniform illumination of the ceiling surface. As a result, distributions with greater high-angle output (i.e. ‘batwing’), like that shown in </w:t>
      </w:r>
      <w:r w:rsidR="003A6750" w:rsidRPr="005F5F05">
        <w:fldChar w:fldCharType="begin"/>
      </w:r>
      <w:r w:rsidR="003A6750" w:rsidRPr="005F5F05">
        <w:instrText xml:space="preserve"> REF _Ref90017413 \h </w:instrText>
      </w:r>
      <w:r w:rsidR="005F5F05" w:rsidRPr="005F5F05">
        <w:instrText xml:space="preserve"> \* MERGEFORMAT </w:instrText>
      </w:r>
      <w:r w:rsidR="003A6750" w:rsidRPr="005F5F05">
        <w:fldChar w:fldCharType="separate"/>
      </w:r>
      <w:r w:rsidR="005F5F05" w:rsidRPr="005F5F05" w:rsidDel="003A6750">
        <w:t xml:space="preserve">Figure </w:t>
      </w:r>
      <w:r w:rsidR="005F5F05" w:rsidRPr="005F5F05">
        <w:t>4</w:t>
      </w:r>
      <w:r w:rsidR="003A6750" w:rsidRPr="005F5F05">
        <w:fldChar w:fldCharType="end"/>
      </w:r>
      <w:r w:rsidR="7F94D4FE">
        <w:t>,</w:t>
      </w:r>
      <w:r>
        <w:t xml:space="preserve"> </w:t>
      </w:r>
      <w:commentRangeStart w:id="8"/>
      <w:r>
        <w:t xml:space="preserve">were studied for both direct and indirect components </w:t>
      </w:r>
      <w:commentRangeEnd w:id="8"/>
      <w:r w:rsidR="00B863C0">
        <w:rPr>
          <w:rStyle w:val="CommentReference"/>
        </w:rPr>
        <w:commentReference w:id="8"/>
      </w:r>
      <w:r>
        <w:t xml:space="preserve">to increase illumination at the eye and hopefully decrease energy consumption. </w:t>
      </w:r>
      <w:r w:rsidR="7F94D4FE">
        <w:t xml:space="preserve">Linear </w:t>
      </w:r>
      <w:r w:rsidR="43C2FA22">
        <w:t>luminaire</w:t>
      </w:r>
      <w:r w:rsidR="7F94D4FE">
        <w:t>s</w:t>
      </w:r>
      <w:r>
        <w:t xml:space="preserve"> were arranged in a rectangular pattern over each double wide section of cubicle workstations</w:t>
      </w:r>
      <w:r w:rsidR="00BF5448">
        <w:t xml:space="preserve"> as shown in </w:t>
      </w:r>
      <w:r w:rsidR="006D4929" w:rsidRPr="00847E90">
        <w:fldChar w:fldCharType="begin"/>
      </w:r>
      <w:r w:rsidR="006D4929" w:rsidRPr="00847E90">
        <w:instrText xml:space="preserve"> REF _Ref90644285 \h </w:instrText>
      </w:r>
      <w:r w:rsidR="00847E90" w:rsidRPr="00847E90">
        <w:instrText xml:space="preserve"> \* MERGEFORMAT </w:instrText>
      </w:r>
      <w:r w:rsidR="006D4929" w:rsidRPr="00847E90">
        <w:fldChar w:fldCharType="separate"/>
      </w:r>
      <w:r w:rsidR="005F5F05" w:rsidRPr="005F5F05">
        <w:t>Figure 5</w:t>
      </w:r>
      <w:r w:rsidR="006D4929" w:rsidRPr="00847E90">
        <w:fldChar w:fldCharType="end"/>
      </w:r>
      <w:r w:rsidRPr="00847E90">
        <w:t>,</w:t>
      </w:r>
      <w:r>
        <w:t xml:space="preserve"> allowing illumination to be optimally placed for seated employees’ primary vertical view orientations. </w:t>
      </w:r>
      <w:r w:rsidR="7F94D4FE" w:rsidRPr="45DB48C2">
        <w:rPr>
          <w:rFonts w:ascii="Calibri" w:eastAsia="Calibri" w:hAnsi="Calibri" w:cs="Calibri"/>
        </w:rPr>
        <w:t>L</w:t>
      </w:r>
      <w:r w:rsidR="43C2FA22" w:rsidRPr="45DB48C2">
        <w:rPr>
          <w:rFonts w:ascii="Calibri" w:eastAsia="Calibri" w:hAnsi="Calibri" w:cs="Calibri"/>
        </w:rPr>
        <w:t>uminaire</w:t>
      </w:r>
      <w:r w:rsidRPr="6AD07C49">
        <w:rPr>
          <w:rFonts w:ascii="Calibri" w:eastAsia="Calibri" w:hAnsi="Calibri" w:cs="Calibri"/>
        </w:rPr>
        <w:t xml:space="preserve"> spacing was unable to be maximized for energy efficiency, as a denser </w:t>
      </w:r>
      <w:r w:rsidR="43C2FA22" w:rsidRPr="45DB48C2">
        <w:rPr>
          <w:rFonts w:ascii="Calibri" w:eastAsia="Calibri" w:hAnsi="Calibri" w:cs="Calibri"/>
        </w:rPr>
        <w:t>luminaire</w:t>
      </w:r>
      <w:r w:rsidRPr="6AD07C49">
        <w:rPr>
          <w:rFonts w:ascii="Calibri" w:eastAsia="Calibri" w:hAnsi="Calibri" w:cs="Calibri"/>
        </w:rPr>
        <w:t xml:space="preserve"> layout allowed recommendations for glare, uniformity and vertical intensity at the eye to be achieved.</w:t>
      </w:r>
      <w:r>
        <w:t xml:space="preserve"> In addition to </w:t>
      </w:r>
      <w:commentRangeStart w:id="9"/>
      <w:r>
        <w:t>the open office linear pendant</w:t>
      </w:r>
      <w:commentRangeEnd w:id="9"/>
      <w:r w:rsidR="0052770B">
        <w:rPr>
          <w:rStyle w:val="CommentReference"/>
        </w:rPr>
        <w:commentReference w:id="9"/>
      </w:r>
      <w:r>
        <w:t xml:space="preserve">, coordinating wall wash, undercabinet task light, and wall mounted uplight were desired. Determining a suitable </w:t>
      </w:r>
      <w:r w:rsidR="43C2FA22">
        <w:t>luminaire</w:t>
      </w:r>
      <w:r>
        <w:t xml:space="preserve"> family that provided the necessary optics became challenging, especially with the critical role of spectral tuning.  </w:t>
      </w:r>
    </w:p>
    <w:p w14:paraId="4DF56798" w14:textId="65191D2F" w:rsidR="4D4A2748" w:rsidRDefault="4D4A2748" w:rsidP="4D4A2748">
      <w:pPr>
        <w:jc w:val="center"/>
      </w:pPr>
      <w:r>
        <w:rPr>
          <w:noProof/>
        </w:rPr>
        <w:drawing>
          <wp:inline distT="0" distB="0" distL="0" distR="0" wp14:anchorId="21901FF2" wp14:editId="103AD4E5">
            <wp:extent cx="4998720" cy="1510030"/>
            <wp:effectExtent l="0" t="0" r="0" b="0"/>
            <wp:docPr id="1443266085" name="Picture 144326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9730" cy="1513356"/>
                    </a:xfrm>
                    <a:prstGeom prst="rect">
                      <a:avLst/>
                    </a:prstGeom>
                  </pic:spPr>
                </pic:pic>
              </a:graphicData>
            </a:graphic>
          </wp:inline>
        </w:drawing>
      </w:r>
    </w:p>
    <w:p w14:paraId="3023B698" w14:textId="01ADEBF6" w:rsidR="008654D7" w:rsidRPr="005452E2" w:rsidRDefault="3EA53C93" w:rsidP="005452E2">
      <w:pPr>
        <w:pStyle w:val="Caption"/>
        <w:rPr>
          <w:b/>
          <w:i w:val="0"/>
          <w:color w:val="auto"/>
          <w:sz w:val="20"/>
          <w:szCs w:val="20"/>
        </w:rPr>
      </w:pPr>
      <w:bookmarkStart w:id="10" w:name="_Ref90017413"/>
      <w:r w:rsidRPr="00526981" w:rsidDel="003A6750">
        <w:rPr>
          <w:b/>
          <w:i w:val="0"/>
          <w:color w:val="auto"/>
        </w:rPr>
        <w:t xml:space="preserve">Figure </w:t>
      </w:r>
      <w:r w:rsidR="003A6750" w:rsidRPr="00526981">
        <w:rPr>
          <w:b/>
          <w:i w:val="0"/>
          <w:color w:val="auto"/>
        </w:rPr>
        <w:fldChar w:fldCharType="begin"/>
      </w:r>
      <w:r w:rsidR="003A6750" w:rsidRPr="00526981">
        <w:rPr>
          <w:b/>
          <w:i w:val="0"/>
          <w:color w:val="auto"/>
        </w:rPr>
        <w:instrText xml:space="preserve"> SEQ Figure \* ARABIC </w:instrText>
      </w:r>
      <w:r w:rsidR="003A6750" w:rsidRPr="00526981">
        <w:rPr>
          <w:b/>
          <w:i w:val="0"/>
          <w:color w:val="auto"/>
        </w:rPr>
        <w:fldChar w:fldCharType="separate"/>
      </w:r>
      <w:r w:rsidR="00A60E2D" w:rsidRPr="00526981">
        <w:rPr>
          <w:b/>
          <w:i w:val="0"/>
          <w:noProof/>
          <w:color w:val="auto"/>
        </w:rPr>
        <w:t>4</w:t>
      </w:r>
      <w:r w:rsidR="003A6750" w:rsidRPr="00526981">
        <w:rPr>
          <w:b/>
          <w:i w:val="0"/>
          <w:color w:val="auto"/>
        </w:rPr>
        <w:fldChar w:fldCharType="end"/>
      </w:r>
      <w:bookmarkEnd w:id="10"/>
      <w:r w:rsidRPr="00526981">
        <w:rPr>
          <w:b/>
          <w:i w:val="0"/>
          <w:color w:val="auto"/>
        </w:rPr>
        <w:t xml:space="preserve">. Examples of the photometric distribution of the luminaires </w:t>
      </w:r>
      <w:r w:rsidR="00B3698F" w:rsidRPr="00526981">
        <w:rPr>
          <w:b/>
          <w:i w:val="0"/>
          <w:color w:val="auto"/>
        </w:rPr>
        <w:t>selected for the project</w:t>
      </w:r>
      <w:r w:rsidR="6A56D6BE" w:rsidRPr="7D88AD08">
        <w:rPr>
          <w:b/>
          <w:bCs/>
          <w:i w:val="0"/>
          <w:iCs w:val="0"/>
          <w:color w:val="auto"/>
          <w:sz w:val="20"/>
          <w:szCs w:val="20"/>
        </w:rPr>
        <w:t>.</w:t>
      </w:r>
      <w:r w:rsidRPr="45DB48C2">
        <w:rPr>
          <w:b/>
          <w:i w:val="0"/>
          <w:color w:val="auto"/>
          <w:sz w:val="20"/>
          <w:szCs w:val="20"/>
        </w:rPr>
        <w:t xml:space="preserve"> </w:t>
      </w:r>
    </w:p>
    <w:p w14:paraId="7912CA12" w14:textId="37C30D43" w:rsidR="006D4929" w:rsidRPr="00847E90" w:rsidRDefault="4315D763" w:rsidP="7D88AD08">
      <w:pPr>
        <w:keepNext/>
        <w:jc w:val="center"/>
      </w:pPr>
      <w:r w:rsidRPr="00847E90">
        <w:rPr>
          <w:noProof/>
        </w:rPr>
        <w:drawing>
          <wp:inline distT="0" distB="0" distL="0" distR="0" wp14:anchorId="1BE6A6FD" wp14:editId="110DBC64">
            <wp:extent cx="5620899" cy="4610818"/>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645179" cy="4630735"/>
                    </a:xfrm>
                    <a:prstGeom prst="rect">
                      <a:avLst/>
                    </a:prstGeom>
                  </pic:spPr>
                </pic:pic>
              </a:graphicData>
            </a:graphic>
          </wp:inline>
        </w:drawing>
      </w:r>
    </w:p>
    <w:p w14:paraId="6E4895FA" w14:textId="6806712A" w:rsidR="00473A7A" w:rsidRPr="00847E90" w:rsidRDefault="006D4929" w:rsidP="7D88AD08">
      <w:pPr>
        <w:pStyle w:val="Caption"/>
        <w:rPr>
          <w:b/>
          <w:color w:val="auto"/>
        </w:rPr>
      </w:pPr>
      <w:bookmarkStart w:id="11" w:name="_Ref90644285"/>
      <w:r w:rsidRPr="00847E90">
        <w:rPr>
          <w:b/>
          <w:i w:val="0"/>
          <w:color w:val="auto"/>
        </w:rPr>
        <w:t xml:space="preserve">Figure </w:t>
      </w:r>
      <w:r w:rsidRPr="00847E90">
        <w:rPr>
          <w:b/>
          <w:i w:val="0"/>
          <w:color w:val="auto"/>
        </w:rPr>
        <w:fldChar w:fldCharType="begin"/>
      </w:r>
      <w:r w:rsidRPr="00847E90">
        <w:rPr>
          <w:b/>
          <w:i w:val="0"/>
          <w:color w:val="auto"/>
        </w:rPr>
        <w:instrText xml:space="preserve"> SEQ Figure \* ARABIC </w:instrText>
      </w:r>
      <w:r w:rsidRPr="00847E90">
        <w:rPr>
          <w:b/>
          <w:i w:val="0"/>
          <w:color w:val="auto"/>
        </w:rPr>
        <w:fldChar w:fldCharType="separate"/>
      </w:r>
      <w:r w:rsidR="00A60E2D">
        <w:rPr>
          <w:b/>
          <w:i w:val="0"/>
          <w:noProof/>
          <w:color w:val="auto"/>
        </w:rPr>
        <w:t>5</w:t>
      </w:r>
      <w:r w:rsidRPr="00847E90">
        <w:rPr>
          <w:b/>
          <w:i w:val="0"/>
          <w:color w:val="auto"/>
        </w:rPr>
        <w:fldChar w:fldCharType="end"/>
      </w:r>
      <w:bookmarkEnd w:id="11"/>
      <w:r w:rsidRPr="00847E90">
        <w:rPr>
          <w:b/>
          <w:i w:val="0"/>
          <w:color w:val="auto"/>
        </w:rPr>
        <w:t>. Lighting layout on the 23rd floor.</w:t>
      </w:r>
    </w:p>
    <w:p w14:paraId="085957DD" w14:textId="62DABC2D" w:rsidR="00B152A5" w:rsidRPr="00937FA1" w:rsidRDefault="27C61343" w:rsidP="00B152A5">
      <w:r>
        <w:t xml:space="preserve">While the intensity of light is key to </w:t>
      </w:r>
      <w:r w:rsidR="00065720">
        <w:t>meeting</w:t>
      </w:r>
      <w:r>
        <w:t xml:space="preserve"> the circadian </w:t>
      </w:r>
      <w:r w:rsidR="00A64801">
        <w:t xml:space="preserve">lighting </w:t>
      </w:r>
      <w:r>
        <w:t xml:space="preserve">metric </w:t>
      </w:r>
      <w:r w:rsidR="00065720">
        <w:t>thresholds</w:t>
      </w:r>
      <w:r>
        <w:t xml:space="preserve"> </w:t>
      </w:r>
      <w:r w:rsidR="00406DBD">
        <w:t xml:space="preserve">recommended </w:t>
      </w:r>
      <w:r>
        <w:t xml:space="preserve">by WELL and UL, the spectral characteristics of the source also play an influential role. The initial proof of concept calculations were conducted with static white sources in a CCT range of approximately 3000 K to 3500 K that </w:t>
      </w:r>
      <w:r w:rsidR="00065720">
        <w:t>were considered</w:t>
      </w:r>
      <w:r w:rsidR="00406DBD">
        <w:t xml:space="preserve"> standard </w:t>
      </w:r>
      <w:r>
        <w:t>for commercial interiors</w:t>
      </w:r>
      <w:r w:rsidR="0D23B29B">
        <w:t>.</w:t>
      </w:r>
      <w:r>
        <w:t xml:space="preserve"> Further, the design team investigated spectrally </w:t>
      </w:r>
      <w:r w:rsidDel="27C61343">
        <w:t>optimized</w:t>
      </w:r>
      <w:r>
        <w:t xml:space="preserve"> sources to provide more flexibility in balancing circadian </w:t>
      </w:r>
      <w:r w:rsidR="00DC5CF7">
        <w:t xml:space="preserve">lighting </w:t>
      </w:r>
      <w:r>
        <w:t xml:space="preserve">metric recommendations with energy efficiency while maintaining color and visual quality. To optimize the spectra delivered by the system and study its effects, the team initially explored tunable lighting systems with three or more spectral channels. While initially optimistic, the designers realized they would have to make a trade-off after tirelessly searching for products. </w:t>
      </w:r>
      <w:bookmarkStart w:id="12" w:name="_Hlk91065068"/>
      <w:r>
        <w:t>Multi-primary systems that can vary the spectrum independent of chromaticity did not have the optics necessary to create a non-Lambertian distribution.</w:t>
      </w:r>
      <w:bookmarkEnd w:id="12"/>
      <w:r>
        <w:t xml:space="preserve"> </w:t>
      </w:r>
      <w:r w:rsidR="00847E90">
        <w:t>Conversely, p</w:t>
      </w:r>
      <w:r>
        <w:t xml:space="preserve">roducts with the necessary optical distribution to meet circadian metrics and code only had two primaries, a warm and cool phosphor-converted LED, with chromaticity </w:t>
      </w:r>
      <w:r w:rsidR="6B8DB781">
        <w:t>inherently</w:t>
      </w:r>
      <w:r>
        <w:t xml:space="preserve"> deviating from the blackbody locus</w:t>
      </w:r>
      <w:r w:rsidR="63517D9F">
        <w:t xml:space="preserve"> resulting in lower color rendering fidelity</w:t>
      </w:r>
      <w:r>
        <w:t xml:space="preserve">. </w:t>
      </w:r>
      <w:r w:rsidR="153CE617">
        <w:t>Even</w:t>
      </w:r>
      <w:r w:rsidR="65FE0193">
        <w:t xml:space="preserve"> t</w:t>
      </w:r>
      <w:r w:rsidR="00847E90">
        <w:t xml:space="preserve">hese </w:t>
      </w:r>
      <w:r w:rsidR="00DC5CF7">
        <w:t>t</w:t>
      </w:r>
      <w:r w:rsidR="65FE0193">
        <w:t xml:space="preserve">wo-channel tunable products </w:t>
      </w:r>
      <w:r w:rsidR="3B676C47">
        <w:t>with the desired optics</w:t>
      </w:r>
      <w:r w:rsidR="65FE0193">
        <w:t xml:space="preserve"> were</w:t>
      </w:r>
      <w:r>
        <w:t xml:space="preserve"> </w:t>
      </w:r>
      <w:r w:rsidR="00847E90">
        <w:t>difficult</w:t>
      </w:r>
      <w:r w:rsidR="01B8C08F">
        <w:t xml:space="preserve"> to</w:t>
      </w:r>
      <w:r>
        <w:t xml:space="preserve"> find</w:t>
      </w:r>
      <w:r w:rsidR="0D5DF4E1">
        <w:t>.</w:t>
      </w:r>
      <w:r>
        <w:t xml:space="preserve"> As a third option, some lighting products alter source spectra to specifically account for circadian metrics. Unfortunately, these products provided too limited of spectral flexibility for the </w:t>
      </w:r>
      <w:r w:rsidR="00847E90">
        <w:t xml:space="preserve">experimental conditions needed for the </w:t>
      </w:r>
      <w:r>
        <w:t>study</w:t>
      </w:r>
      <w:r w:rsidR="00847E90">
        <w:t xml:space="preserve"> </w:t>
      </w:r>
      <w:r w:rsidR="00155309">
        <w:t>which required</w:t>
      </w:r>
      <w:r w:rsidR="00847E90">
        <w:t xml:space="preserve"> slow, visible change</w:t>
      </w:r>
      <w:r w:rsidR="00155309">
        <w:t>s</w:t>
      </w:r>
      <w:r w:rsidR="00847E90">
        <w:t xml:space="preserve"> in the color appearance of the light source throughout the day for biophilic and cueing considerations. Additionally, </w:t>
      </w:r>
      <w:r w:rsidR="00155309">
        <w:t>finding the desired</w:t>
      </w:r>
      <w:r>
        <w:t xml:space="preserve"> optical distributions for these products remained a hurdle, particularly in a linear form factor. </w:t>
      </w:r>
    </w:p>
    <w:p w14:paraId="668C78AC" w14:textId="71E2BE10" w:rsidR="00B152A5" w:rsidRDefault="1B4CFE49" w:rsidP="00B152A5">
      <w:r>
        <w:t xml:space="preserve">After extensive searching from the design team, a 4 in wide and 1 in tall profile linear </w:t>
      </w:r>
      <w:r w:rsidR="43C2FA22">
        <w:t>luminaire</w:t>
      </w:r>
      <w:r w:rsidR="3B468A6D">
        <w:t xml:space="preserve"> </w:t>
      </w:r>
      <w:r>
        <w:t xml:space="preserve">was selected. </w:t>
      </w:r>
      <w:r w:rsidR="43C2FA22">
        <w:t>This</w:t>
      </w:r>
      <w:r w:rsidR="00244635">
        <w:t xml:space="preserve"> luminaire also had a</w:t>
      </w:r>
      <w:r>
        <w:t xml:space="preserve"> wall wash distribution and </w:t>
      </w:r>
      <w:r w:rsidR="00244635">
        <w:t xml:space="preserve">could be </w:t>
      </w:r>
      <w:r>
        <w:t>modified for wall mounting and undercabinet lighting</w:t>
      </w:r>
      <w:r w:rsidR="43C2FA22">
        <w:t>.</w:t>
      </w:r>
      <w:r w:rsidR="00244635">
        <w:t xml:space="preserve"> It was available with</w:t>
      </w:r>
      <w:r>
        <w:t xml:space="preserve"> a 2-channel tunable white system (2700 K</w:t>
      </w:r>
      <w:r w:rsidR="0F57AD4E">
        <w:t xml:space="preserve"> to </w:t>
      </w:r>
      <w:r>
        <w:t xml:space="preserve">6500 K) and injection model optics that provided edge-lighting of a nominal 4 in wide acrylic lens, allowing for high vertical illumination levels that still met IES recommended values for glare mitigation.  </w:t>
      </w:r>
    </w:p>
    <w:p w14:paraId="35FE51F3" w14:textId="22DF95B4" w:rsidR="00B152A5" w:rsidRDefault="27C61343" w:rsidP="00B152A5">
      <w:r>
        <w:t xml:space="preserve">While industry recommendations for circadian </w:t>
      </w:r>
      <w:r w:rsidR="00155309">
        <w:t>lighting metrics</w:t>
      </w:r>
      <w:r>
        <w:t xml:space="preserve"> and glare were achieved, lighting levels on the horizontal task surface were still two</w:t>
      </w:r>
      <w:r w:rsidR="00406DBD">
        <w:t xml:space="preserve"> to </w:t>
      </w:r>
      <w:r>
        <w:t xml:space="preserve">three times higher than the recommendations from the IES. In addition, the increased vertical surface and ceiling illumination, which were both needed for an effective and comfortable lighting system, also created a significant challenge to comply with the energy code, let alone optimized energy performance metrics from sustainability guidelines such as LEED.  </w:t>
      </w:r>
    </w:p>
    <w:p w14:paraId="610283A6" w14:textId="352F63F2" w:rsidR="00B152A5" w:rsidRDefault="27C61343" w:rsidP="00B152A5">
      <w:r>
        <w:t>To determine how much of a factor the lower ceiling height was on the effectiveness of the lighting system, the team began to investigate architectural modifications to find solutions to address the high intensity horizontal levels. As a result, the team explored the possibility of an exposed ceiling approach</w:t>
      </w:r>
      <w:r w:rsidR="001D441B">
        <w:t xml:space="preserve"> </w:t>
      </w:r>
      <w:commentRangeStart w:id="13"/>
      <w:r w:rsidR="001D441B">
        <w:t>on the 24</w:t>
      </w:r>
      <w:r w:rsidR="001D441B" w:rsidRPr="001D441B">
        <w:rPr>
          <w:vertAlign w:val="superscript"/>
        </w:rPr>
        <w:t>th</w:t>
      </w:r>
      <w:r w:rsidR="001D441B">
        <w:t xml:space="preserve"> floor</w:t>
      </w:r>
      <w:commentRangeEnd w:id="13"/>
      <w:r w:rsidR="001D441B">
        <w:rPr>
          <w:rStyle w:val="CommentReference"/>
        </w:rPr>
        <w:commentReference w:id="13"/>
      </w:r>
      <w:r>
        <w:t xml:space="preserve">. This new investigation would also allow for the study a very common modern office design of taller open office spaces with exposed ceiling decks and address the obtrusively low mounting height of the currently proposed direct-indirect linear lighting system. The exposed scheme gained the space three feet in additional ceiling height (11 ft to 11.75 ft), allowing </w:t>
      </w:r>
      <w:r w:rsidR="43C2FA22">
        <w:t>luminaire</w:t>
      </w:r>
      <w:r w:rsidR="0D23B29B">
        <w:t>s</w:t>
      </w:r>
      <w:r>
        <w:t xml:space="preserve"> to be mounted at a more visually appealing location. However, the waffle slab structure of the building caused much of the indirect illumination scheme to be less effective than the existing drop ceiling tile solution. Using the same lighting layout, the exposed ceiling approach required higher wattage </w:t>
      </w:r>
      <w:r w:rsidR="43C2FA22">
        <w:t>luminaire</w:t>
      </w:r>
      <w:r w:rsidR="0D23B29B">
        <w:t>s</w:t>
      </w:r>
      <w:r>
        <w:t xml:space="preserve"> to be used to meet the same melanopic values to account for the variable ceiling surface and increased distance, though ceiling uniformity ultimately did improve. Each scheme was presented to Cook County as a possibility for the study, and it was determined that both schemes would be studied in conjunction – one varying the layout for the two floors. This also would allow for a valuable surveying of employee preference of the two schemes. While the ceiling height gained the lighting scheme more visual comfort and pleasing esthetics for the occupants were anticipated, both lighting schemes still struggled with high energy consumption and high horizontal task plane lighting levels.</w:t>
      </w:r>
    </w:p>
    <w:p w14:paraId="6E397CEF" w14:textId="67884F18" w:rsidR="0D5926EE" w:rsidRDefault="27C61343" w:rsidP="3EA53C93">
      <w:pPr>
        <w:spacing w:line="257" w:lineRule="auto"/>
        <w:rPr>
          <w:rFonts w:ascii="Calibri" w:eastAsia="Calibri" w:hAnsi="Calibri" w:cs="Calibri"/>
        </w:rPr>
      </w:pPr>
      <w:r w:rsidRPr="27C61343">
        <w:rPr>
          <w:rFonts w:ascii="Calibri" w:eastAsia="Calibri" w:hAnsi="Calibri" w:cs="Calibri"/>
        </w:rPr>
        <w:t xml:space="preserve">While the primary focus of the </w:t>
      </w:r>
      <w:r w:rsidR="001D441B">
        <w:rPr>
          <w:rFonts w:ascii="Calibri" w:eastAsia="Calibri" w:hAnsi="Calibri" w:cs="Calibri"/>
        </w:rPr>
        <w:t>lighting design</w:t>
      </w:r>
      <w:r w:rsidRPr="27C61343">
        <w:rPr>
          <w:rFonts w:ascii="Calibri" w:eastAsia="Calibri" w:hAnsi="Calibri" w:cs="Calibri"/>
        </w:rPr>
        <w:t xml:space="preserve"> was </w:t>
      </w:r>
      <w:r w:rsidR="001D441B">
        <w:rPr>
          <w:rFonts w:ascii="Calibri" w:eastAsia="Calibri" w:hAnsi="Calibri" w:cs="Calibri"/>
        </w:rPr>
        <w:t xml:space="preserve">meeting the various metrics at the office </w:t>
      </w:r>
      <w:r w:rsidRPr="27C61343">
        <w:rPr>
          <w:rFonts w:ascii="Calibri" w:eastAsia="Calibri" w:hAnsi="Calibri" w:cs="Calibri"/>
        </w:rPr>
        <w:t>workstations, it was important to the team to consider the balance of illumination levels for supporting spaces such as storage rooms, break rooms, elevator lobbies, and restrooms in order to manage contrast and adaptation. Maintaining</w:t>
      </w:r>
      <w:r w:rsidRPr="27C61343" w:rsidDel="00406DBD">
        <w:rPr>
          <w:rFonts w:ascii="Calibri" w:eastAsia="Calibri" w:hAnsi="Calibri" w:cs="Calibri"/>
        </w:rPr>
        <w:t xml:space="preserve"> </w:t>
      </w:r>
      <w:r w:rsidR="00406DBD">
        <w:rPr>
          <w:rFonts w:ascii="Calibri" w:eastAsia="Calibri" w:hAnsi="Calibri" w:cs="Calibri"/>
        </w:rPr>
        <w:t>consistent</w:t>
      </w:r>
      <w:r w:rsidR="00406DBD" w:rsidRPr="27C61343">
        <w:rPr>
          <w:rFonts w:ascii="Calibri" w:eastAsia="Calibri" w:hAnsi="Calibri" w:cs="Calibri"/>
        </w:rPr>
        <w:t xml:space="preserve"> </w:t>
      </w:r>
      <w:r w:rsidRPr="27C61343">
        <w:rPr>
          <w:rFonts w:ascii="Calibri" w:eastAsia="Calibri" w:hAnsi="Calibri" w:cs="Calibri"/>
        </w:rPr>
        <w:t xml:space="preserve">lighting levels to </w:t>
      </w:r>
      <w:r w:rsidR="00406DBD">
        <w:rPr>
          <w:rFonts w:ascii="Calibri" w:eastAsia="Calibri" w:hAnsi="Calibri" w:cs="Calibri"/>
        </w:rPr>
        <w:t>minimize stark contrast</w:t>
      </w:r>
      <w:r w:rsidR="00406DBD" w:rsidRPr="27C61343">
        <w:rPr>
          <w:rFonts w:ascii="Calibri" w:eastAsia="Calibri" w:hAnsi="Calibri" w:cs="Calibri"/>
        </w:rPr>
        <w:t xml:space="preserve"> </w:t>
      </w:r>
      <w:r w:rsidRPr="27C61343">
        <w:rPr>
          <w:rFonts w:ascii="Calibri" w:eastAsia="Calibri" w:hAnsi="Calibri" w:cs="Calibri"/>
        </w:rPr>
        <w:t xml:space="preserve">with the adjacent private and open office areas meant much higher energy consumption in </w:t>
      </w:r>
      <w:r w:rsidR="6AAE2EF5" w:rsidRPr="45DB48C2">
        <w:rPr>
          <w:rFonts w:ascii="Calibri" w:eastAsia="Calibri" w:hAnsi="Calibri" w:cs="Calibri"/>
        </w:rPr>
        <w:t>areas</w:t>
      </w:r>
      <w:r w:rsidR="00406DBD">
        <w:rPr>
          <w:rFonts w:ascii="Calibri" w:eastAsia="Calibri" w:hAnsi="Calibri" w:cs="Calibri"/>
        </w:rPr>
        <w:t xml:space="preserve"> such as storage</w:t>
      </w:r>
      <w:r w:rsidRPr="27C61343">
        <w:rPr>
          <w:rFonts w:ascii="Calibri" w:eastAsia="Calibri" w:hAnsi="Calibri" w:cs="Calibri"/>
        </w:rPr>
        <w:t>, many of which have lower lighting power density</w:t>
      </w:r>
      <w:r w:rsidR="00406DBD">
        <w:rPr>
          <w:rFonts w:ascii="Calibri" w:eastAsia="Calibri" w:hAnsi="Calibri" w:cs="Calibri"/>
        </w:rPr>
        <w:t xml:space="preserve"> (LPD)</w:t>
      </w:r>
      <w:r w:rsidRPr="27C61343">
        <w:rPr>
          <w:rFonts w:ascii="Calibri" w:eastAsia="Calibri" w:hAnsi="Calibri" w:cs="Calibri"/>
        </w:rPr>
        <w:t xml:space="preserve"> allowances. This tension between managing light level adjacencies and energy code compliance was identified as a topic to be coordinated and resolved before the project could complete the subsequent construction documents phase. </w:t>
      </w:r>
    </w:p>
    <w:p w14:paraId="1E1B329D" w14:textId="7C4BD2BC" w:rsidR="00EE3A12" w:rsidRDefault="056E056C" w:rsidP="00EE3A12">
      <w:pPr>
        <w:pStyle w:val="Heading1"/>
      </w:pPr>
      <w:r>
        <w:t>Lighting Simulations</w:t>
      </w:r>
    </w:p>
    <w:p w14:paraId="4B69702D" w14:textId="093C8681" w:rsidR="056E056C" w:rsidRDefault="4D4A2748" w:rsidP="056E056C">
      <w:pPr>
        <w:pStyle w:val="Heading2"/>
        <w:rPr>
          <w:rFonts w:ascii="Calibri Light" w:hAnsi="Calibri Light"/>
        </w:rPr>
      </w:pPr>
      <w:r>
        <w:t>Simulation Software Tools and Methods</w:t>
      </w:r>
    </w:p>
    <w:p w14:paraId="0B4FDB61" w14:textId="061D783F" w:rsidR="1B4CFE49" w:rsidRDefault="27C61343" w:rsidP="068C2DDB">
      <w:pPr>
        <w:spacing w:line="257" w:lineRule="auto"/>
        <w:rPr>
          <w:rFonts w:cs="Times New Roman"/>
        </w:rPr>
      </w:pPr>
      <w:r w:rsidRPr="27C61343">
        <w:rPr>
          <w:rFonts w:ascii="Calibri" w:eastAsia="Calibri" w:hAnsi="Calibri" w:cs="Calibri"/>
        </w:rPr>
        <w:t xml:space="preserve">Schuler Shook used Lighting Analysts’ AGi32 software to conduct lighting calculations for the study of photopic and melanopic light levels throughout the office spaces. </w:t>
      </w:r>
      <w:r>
        <w:t xml:space="preserve">AGi32 is one of the most commonly used lighting design software tools </w:t>
      </w:r>
      <w:r w:rsidR="75C9FFB1">
        <w:t>to</w:t>
      </w:r>
      <w:r>
        <w:t xml:space="preserve"> predict photopic quantities in common architectural applications</w:t>
      </w:r>
      <w:r w:rsidR="0D23B29B">
        <w:t>.</w:t>
      </w:r>
      <w:r>
        <w:t xml:space="preserve"> Traditional radiosity-based lighting simulation tools, like AGi32, assume light sources to be of equal energy </w:t>
      </w:r>
      <w:r w:rsidRPr="005452E2">
        <w:t xml:space="preserve">across the visible spectrum, and non-luminous architectural surfaces are assigned a single reflectance value with a flat spectral reflectance distribution. </w:t>
      </w:r>
      <w:r w:rsidRPr="005452E2">
        <w:rPr>
          <w:rFonts w:cs="Times New Roman"/>
        </w:rPr>
        <w:t>For visualization purposes, luminous and non-luminous surfaces can be assigned red, green, and blue (RGB) color values, and a color bleeding technique is used to depict interreflection of colored surfaces</w:t>
      </w:r>
      <w:r w:rsidR="002D7634">
        <w:rPr>
          <w:rFonts w:cs="Times New Roman"/>
        </w:rPr>
        <w:t xml:space="preserve"> </w:t>
      </w:r>
      <w:r w:rsidR="002D7634">
        <w:rPr>
          <w:rFonts w:cs="Times New Roman"/>
        </w:rPr>
        <w:fldChar w:fldCharType="begin"/>
      </w:r>
      <w:r w:rsidR="002D7634">
        <w:rPr>
          <w:rFonts w:cs="Times New Roman"/>
        </w:rPr>
        <w:instrText xml:space="preserve"> ADDIN EN.CITE &lt;EndNote&gt;&lt;Cite&gt;&lt;Author&gt;AGi32&lt;/Author&gt;&lt;Year&gt;2020&lt;/Year&gt;&lt;RecNum&gt;182&lt;/RecNum&gt;&lt;DisplayText&gt;(AGi32 2020)&lt;/DisplayText&gt;&lt;record&gt;&lt;rec-number&gt;182&lt;/rec-number&gt;&lt;foreign-keys&gt;&lt;key app="EN" db-id="evaf9eed9pd5e0e59xtvdep80wxesd5tp2fp" timestamp="1609260977"&gt;182&lt;/key&gt;&lt;/foreign-keys&gt;&lt;ref-type name="Web Page"&gt;12&lt;/ref-type&gt;&lt;contributors&gt;&lt;authors&gt;&lt;author&gt;AGi32&lt;/author&gt;&lt;/authors&gt;&lt;/contributors&gt;&lt;titles&gt;&lt;title&gt;Color bleed - concepts&lt;/title&gt;&lt;/titles&gt;&lt;volume&gt;2020&lt;/volume&gt;&lt;number&gt;December 1&lt;/number&gt;&lt;dates&gt;&lt;year&gt;2020&lt;/year&gt;&lt;/dates&gt;&lt;publisher&gt;Lighting Analysts - Illumination Engineering Software&lt;/publisher&gt;&lt;urls&gt;&lt;related-urls&gt;&lt;url&gt;https://docs.agi32.com/AGi32/Content/multi_use_forms/Color_Bleed_-_Concepts.htm.&lt;/url&gt;&lt;/related-urls&gt;&lt;/urls&gt;&lt;/record&gt;&lt;/Cite&gt;&lt;/EndNote&gt;</w:instrText>
      </w:r>
      <w:r w:rsidR="002D7634">
        <w:rPr>
          <w:rFonts w:cs="Times New Roman"/>
        </w:rPr>
        <w:fldChar w:fldCharType="separate"/>
      </w:r>
      <w:r w:rsidR="002D7634">
        <w:rPr>
          <w:rFonts w:cs="Times New Roman"/>
          <w:noProof/>
        </w:rPr>
        <w:t>(AGi32 2020)</w:t>
      </w:r>
      <w:r w:rsidR="002D7634">
        <w:rPr>
          <w:rFonts w:cs="Times New Roman"/>
        </w:rPr>
        <w:fldChar w:fldCharType="end"/>
      </w:r>
      <w:r w:rsidRPr="005452E2">
        <w:rPr>
          <w:rFonts w:cs="Times New Roman"/>
        </w:rPr>
        <w:t xml:space="preserve">. This is a coarse visual representation of what is experienced in a real environment and photometric values calculated using this method may be inflated due to the misrepresentation of energy transfer during interreflections. </w:t>
      </w:r>
      <w:r w:rsidR="002D7634">
        <w:rPr>
          <w:rFonts w:cs="Times New Roman"/>
        </w:rPr>
        <w:t>Currently, additional steps</w:t>
      </w:r>
      <w:r w:rsidRPr="005452E2">
        <w:t xml:space="preserve"> are necessary to use AGi32 simulation methods to calculate spectrally dependent metrics like</w:t>
      </w:r>
      <w:r>
        <w:t xml:space="preserve"> EML or CS</w:t>
      </w:r>
      <w:r w:rsidR="002D7634">
        <w:t>.</w:t>
      </w:r>
      <w:r w:rsidR="002D7634">
        <w:rPr>
          <w:rFonts w:cs="Times New Roman"/>
        </w:rPr>
        <w:t xml:space="preserve"> </w:t>
      </w:r>
    </w:p>
    <w:p w14:paraId="0D313A14" w14:textId="2937E392" w:rsidR="1B4CFE49" w:rsidRDefault="50D7380F" w:rsidP="1B4CFE49">
      <w:pPr>
        <w:spacing w:line="257" w:lineRule="auto"/>
        <w:rPr>
          <w:rFonts w:ascii="Calibri" w:eastAsia="Calibri" w:hAnsi="Calibri" w:cs="Calibri"/>
        </w:rPr>
      </w:pPr>
      <w:r w:rsidRPr="50D7380F">
        <w:rPr>
          <w:rFonts w:ascii="Calibri" w:eastAsia="Calibri" w:hAnsi="Calibri" w:cs="Calibri"/>
        </w:rPr>
        <w:t>During design development, the 23</w:t>
      </w:r>
      <w:r w:rsidRPr="50D7380F">
        <w:rPr>
          <w:rFonts w:ascii="Calibri" w:eastAsia="Calibri" w:hAnsi="Calibri" w:cs="Calibri"/>
          <w:vertAlign w:val="superscript"/>
        </w:rPr>
        <w:t>rd</w:t>
      </w:r>
      <w:r w:rsidRPr="50D7380F">
        <w:rPr>
          <w:rFonts w:ascii="Calibri" w:eastAsia="Calibri" w:hAnsi="Calibri" w:cs="Calibri"/>
        </w:rPr>
        <w:t xml:space="preserve"> floor was used to study all typical space types in both conditions of an open ceiling and the existing drop tile </w:t>
      </w:r>
      <w:commentRangeStart w:id="14"/>
      <w:r w:rsidRPr="50D7380F">
        <w:rPr>
          <w:rFonts w:ascii="Calibri" w:eastAsia="Calibri" w:hAnsi="Calibri" w:cs="Calibri"/>
        </w:rPr>
        <w:t>ceiling</w:t>
      </w:r>
      <w:commentRangeEnd w:id="14"/>
      <w:r w:rsidR="27C61343">
        <w:rPr>
          <w:rStyle w:val="CommentReference"/>
        </w:rPr>
        <w:commentReference w:id="14"/>
      </w:r>
      <w:r w:rsidRPr="50D7380F">
        <w:rPr>
          <w:rFonts w:ascii="Calibri" w:eastAsia="Calibri" w:hAnsi="Calibri" w:cs="Calibri"/>
        </w:rPr>
        <w:t xml:space="preserve">. Horizontal illuminance calculations were conducted using points on the floor with 2 ft spacing as well as on each task plane, 2.5 ft above finished floor (AFF), with 1 ft spacing. A maintenance light loss factor (LLF) of 0.8 was used in all simulations, consistent with typical lighting project calculations for long term system installations. </w:t>
      </w:r>
    </w:p>
    <w:p w14:paraId="2457BCEA" w14:textId="7F4D5DE8" w:rsidR="005F5F05" w:rsidRDefault="6C6B848E" w:rsidP="005F5F05">
      <w:pPr>
        <w:spacing w:line="257" w:lineRule="auto"/>
        <w:rPr>
          <w:rFonts w:ascii="Calibri" w:eastAsia="Calibri" w:hAnsi="Calibri" w:cs="Calibri"/>
        </w:rPr>
      </w:pPr>
      <w:r w:rsidRPr="1E3904C6">
        <w:rPr>
          <w:rFonts w:ascii="Calibri" w:eastAsia="Calibri" w:hAnsi="Calibri" w:cs="Calibri"/>
        </w:rPr>
        <w:t xml:space="preserve">Both glare and melanopic potential were studied in AGi32 utilizing vertically oriented calculations points. </w:t>
      </w:r>
      <w:r w:rsidR="001D441B">
        <w:rPr>
          <w:rFonts w:ascii="Calibri" w:eastAsia="Calibri" w:hAnsi="Calibri" w:cs="Calibri"/>
        </w:rPr>
        <w:t>C</w:t>
      </w:r>
      <w:r w:rsidRPr="1E3904C6">
        <w:rPr>
          <w:rFonts w:ascii="Calibri" w:eastAsia="Calibri" w:hAnsi="Calibri" w:cs="Calibri"/>
        </w:rPr>
        <w:t xml:space="preserve">alculations were conducted using a continuous point grid with 2 ft spacing, 4 ft AFF, with the calculation points oriented vertically. Multiple vertical calculation grids were placed so that the points were oriented towards each cardinal direction, simulating employee’s primary and peripheral fields of view. </w:t>
      </w:r>
      <w:r w:rsidR="009F2F17">
        <w:rPr>
          <w:rFonts w:ascii="Calibri" w:eastAsia="Calibri" w:hAnsi="Calibri" w:cs="Calibri"/>
        </w:rPr>
        <w:t>To estimate the EML using AGi32, c</w:t>
      </w:r>
      <w:r w:rsidRPr="1E3904C6">
        <w:rPr>
          <w:rFonts w:ascii="Calibri" w:eastAsia="Calibri" w:hAnsi="Calibri" w:cs="Calibri"/>
        </w:rPr>
        <w:t>alculations applied an additional LLF based on the melanopic to photopic (M/P) ratio</w:t>
      </w:r>
      <w:r w:rsidR="009F2F17">
        <w:rPr>
          <w:rStyle w:val="FootnoteReference"/>
          <w:rFonts w:ascii="Calibri" w:eastAsia="Calibri" w:hAnsi="Calibri" w:cs="Calibri"/>
        </w:rPr>
        <w:footnoteReference w:id="3"/>
      </w:r>
      <w:r w:rsidRPr="1E3904C6">
        <w:rPr>
          <w:rFonts w:ascii="Calibri" w:eastAsia="Calibri" w:hAnsi="Calibri" w:cs="Calibri"/>
        </w:rPr>
        <w:t xml:space="preserve"> data </w:t>
      </w:r>
      <w:r w:rsidR="2A74665D" w:rsidRPr="1E3904C6">
        <w:rPr>
          <w:rFonts w:ascii="Calibri" w:eastAsia="Calibri" w:hAnsi="Calibri" w:cs="Calibri"/>
        </w:rPr>
        <w:t xml:space="preserve">obtained </w:t>
      </w:r>
      <w:r w:rsidRPr="1E3904C6">
        <w:rPr>
          <w:rFonts w:ascii="Calibri" w:eastAsia="Calibri" w:hAnsi="Calibri" w:cs="Calibri"/>
        </w:rPr>
        <w:t xml:space="preserve">from lighting manufacturers. </w:t>
      </w:r>
      <w:commentRangeStart w:id="15"/>
      <w:r w:rsidR="009F2F17" w:rsidRPr="63287099">
        <w:rPr>
          <w:rFonts w:ascii="Calibri" w:eastAsia="Calibri" w:hAnsi="Calibri" w:cs="Calibri"/>
        </w:rPr>
        <w:t xml:space="preserve">The </w:t>
      </w:r>
      <w:commentRangeEnd w:id="15"/>
      <w:r w:rsidR="009F2F17">
        <w:rPr>
          <w:rStyle w:val="CommentReference"/>
        </w:rPr>
        <w:commentReference w:id="15"/>
      </w:r>
      <w:r w:rsidR="009F2F17" w:rsidRPr="63287099">
        <w:rPr>
          <w:rFonts w:ascii="Calibri" w:eastAsia="Calibri" w:hAnsi="Calibri" w:cs="Calibri"/>
        </w:rPr>
        <w:t xml:space="preserve">use of consistent vertical calculation grids made it apparent that the vertical light levels necessary to avoid discomfort glare as defined by the IES conflicted with necessary levels for </w:t>
      </w:r>
      <w:r w:rsidR="00720948">
        <w:rPr>
          <w:rFonts w:ascii="Calibri" w:eastAsia="Calibri" w:hAnsi="Calibri" w:cs="Calibri"/>
        </w:rPr>
        <w:t>EML and CS</w:t>
      </w:r>
      <w:r w:rsidR="009F2F17" w:rsidRPr="63287099">
        <w:rPr>
          <w:rFonts w:ascii="Calibri" w:eastAsia="Calibri" w:hAnsi="Calibri" w:cs="Calibri"/>
        </w:rPr>
        <w:t xml:space="preserve"> at the eye.</w:t>
      </w:r>
      <w:r w:rsidR="005F5F05" w:rsidRPr="005F5F05">
        <w:rPr>
          <w:rFonts w:ascii="Calibri" w:eastAsia="Calibri" w:hAnsi="Calibri" w:cs="Calibri"/>
        </w:rPr>
        <w:t xml:space="preserve"> </w:t>
      </w:r>
      <w:r w:rsidR="005F5F05" w:rsidRPr="27C61343">
        <w:rPr>
          <w:rFonts w:ascii="Calibri" w:eastAsia="Calibri" w:hAnsi="Calibri" w:cs="Calibri"/>
        </w:rPr>
        <w:t xml:space="preserve">Lighting Analysts’ companion software, Photometric Toolbox, was also utilized to study luminance angles of each proposed </w:t>
      </w:r>
      <w:r w:rsidR="005F5F05" w:rsidRPr="45DB48C2">
        <w:rPr>
          <w:rFonts w:ascii="Calibri" w:eastAsia="Calibri" w:hAnsi="Calibri" w:cs="Calibri"/>
        </w:rPr>
        <w:t>luminaire</w:t>
      </w:r>
      <w:r w:rsidR="005F5F05" w:rsidRPr="27C61343">
        <w:rPr>
          <w:rFonts w:ascii="Calibri" w:eastAsia="Calibri" w:hAnsi="Calibri" w:cs="Calibri"/>
        </w:rPr>
        <w:t xml:space="preserve"> option to assess glare potential.</w:t>
      </w:r>
    </w:p>
    <w:p w14:paraId="3A515431" w14:textId="2106B1D4" w:rsidR="001D441B" w:rsidRDefault="5FEBF492" w:rsidP="001D441B">
      <w:pPr>
        <w:spacing w:line="257" w:lineRule="auto"/>
        <w:rPr>
          <w:rFonts w:ascii="Calibri" w:eastAsia="Calibri" w:hAnsi="Calibri" w:cs="Calibri"/>
        </w:rPr>
      </w:pPr>
      <w:r w:rsidRPr="5FEBF492">
        <w:rPr>
          <w:rFonts w:cs="Times New Roman"/>
        </w:rPr>
        <w:t>PNNL conducted a second set of lighting simulations for several of the spaces on the 23</w:t>
      </w:r>
      <w:r w:rsidRPr="5FEBF492">
        <w:rPr>
          <w:rFonts w:cs="Times New Roman"/>
          <w:vertAlign w:val="superscript"/>
        </w:rPr>
        <w:t>rd</w:t>
      </w:r>
      <w:r w:rsidRPr="5FEBF492">
        <w:rPr>
          <w:rFonts w:cs="Times New Roman"/>
        </w:rPr>
        <w:t xml:space="preserve"> floor including the open office, private office, and storage spaces. These simulations were conducted in Adaptative Lighting for Alertness (ALFA), a relatively new simulation tool that allows for high resolution spectral simulations of architectural environments. ALFA uses 81 bins to represent the spectral characteristics of room surfaces and light sources for calculating the intensity and spectrum of light at horizontal or vertical calculation points. This makes it possible to estimate spectrally dependent metrics like EML or CS at the eye of potential occupants. It is important to note that ALFA has not been formally validated </w:t>
      </w:r>
      <w:r w:rsidR="42BE8F6F" w:rsidRPr="45DB48C2">
        <w:rPr>
          <w:rFonts w:cs="Times New Roman"/>
        </w:rPr>
        <w:t xml:space="preserve">in academic literature </w:t>
      </w:r>
      <w:r w:rsidRPr="5FEBF492">
        <w:rPr>
          <w:rFonts w:cs="Times New Roman"/>
        </w:rPr>
        <w:t xml:space="preserve">however, it expands on the capabilities of Radiance, a popular lighting toolkit that uses a raytracing method to simulate daylight and electric lighting in 3 spectral bins. </w:t>
      </w:r>
    </w:p>
    <w:p w14:paraId="5393FA84" w14:textId="70F7D502" w:rsidR="5FEBF492" w:rsidRDefault="5FEBF492" w:rsidP="5FEBF492">
      <w:r w:rsidRPr="5FEBF492">
        <w:rPr>
          <w:rFonts w:cs="Times New Roman"/>
        </w:rPr>
        <w:t xml:space="preserve">The following sections explore the AGi32 and ALFA simulation results to investigate </w:t>
      </w:r>
      <w:r>
        <w:t>how different simulation methods and CCT conditions influence the prediction of relevant lighting metrics in different spaces</w:t>
      </w:r>
      <w:r w:rsidR="005F5F05">
        <w:t>.</w:t>
      </w:r>
    </w:p>
    <w:p w14:paraId="0D00AC06" w14:textId="1640CACF" w:rsidR="4D4A2748" w:rsidRDefault="6AD07C49" w:rsidP="4D4A2748">
      <w:pPr>
        <w:pStyle w:val="Heading2"/>
        <w:rPr>
          <w:rFonts w:ascii="Calibri Light" w:hAnsi="Calibri Light"/>
        </w:rPr>
      </w:pPr>
      <w:r w:rsidRPr="6AD07C49">
        <w:rPr>
          <w:rStyle w:val="Heading3Char"/>
        </w:rPr>
        <w:t>Open Office Simulations – Comparison of Software Tools and Methods</w:t>
      </w:r>
    </w:p>
    <w:p w14:paraId="083DA95E" w14:textId="1A691AD4" w:rsidR="1B4CFE49" w:rsidRDefault="52DAE462" w:rsidP="5B336192">
      <w:pPr>
        <w:keepNext/>
      </w:pPr>
      <w:r>
        <w:t xml:space="preserve">For </w:t>
      </w:r>
      <w:r w:rsidR="005F5F05">
        <w:t>comparing software tools and calculated metrics</w:t>
      </w:r>
      <w:r>
        <w:t>, one AGi32 simulation and f</w:t>
      </w:r>
      <w:r w:rsidR="10707AB0">
        <w:t xml:space="preserve">our </w:t>
      </w:r>
      <w:r>
        <w:t>ALFA simulations were conducted using the same lighting and architectural layouts for the 23</w:t>
      </w:r>
      <w:r w:rsidRPr="0521B736">
        <w:rPr>
          <w:vertAlign w:val="superscript"/>
        </w:rPr>
        <w:t>rd</w:t>
      </w:r>
      <w:r>
        <w:t xml:space="preserve"> floor open office spaces. The AGi32 simulations follow the procedure used by Schuler Shook during the development of the lighting design</w:t>
      </w:r>
      <w:r w:rsidR="1D7FF749">
        <w:t xml:space="preserve"> </w:t>
      </w:r>
      <w:r>
        <w:t>described in the previous secti</w:t>
      </w:r>
      <w:r w:rsidR="568662C2">
        <w:t>on</w:t>
      </w:r>
      <w:r>
        <w:t xml:space="preserve">. </w:t>
      </w:r>
    </w:p>
    <w:p w14:paraId="4FF2C491" w14:textId="33F5AA12" w:rsidR="1B4CFE49" w:rsidRDefault="00E029CF" w:rsidP="5B336192">
      <w:pPr>
        <w:keepNext/>
      </w:pPr>
      <w:r>
        <w:t>In AGi32, a</w:t>
      </w:r>
      <w:r w:rsidR="52DAE462">
        <w:t xml:space="preserve">verage reflectance values were assigned to room surfaces, based on the materials observed during a site visit to the existing Cook County Office spaces. These materials and corresponding (photopic) reflectance values are listed </w:t>
      </w:r>
      <w:r w:rsidR="52DAE462" w:rsidRPr="005F5F05">
        <w:t>in</w:t>
      </w:r>
      <w:r w:rsidR="005F5F05" w:rsidRPr="005F5F05">
        <w:t xml:space="preserve"> </w:t>
      </w:r>
      <w:r w:rsidR="005F5F05" w:rsidRPr="005F5F05">
        <w:fldChar w:fldCharType="begin"/>
      </w:r>
      <w:r w:rsidR="005F5F05" w:rsidRPr="005F5F05">
        <w:instrText xml:space="preserve"> REF _Ref90705848 \h </w:instrText>
      </w:r>
      <w:r w:rsidR="005F5F05">
        <w:instrText xml:space="preserve"> \* MERGEFORMAT </w:instrText>
      </w:r>
      <w:r w:rsidR="005F5F05" w:rsidRPr="005F5F05">
        <w:fldChar w:fldCharType="separate"/>
      </w:r>
      <w:r w:rsidR="005F5F05" w:rsidRPr="005F5F05">
        <w:t>Table 3</w:t>
      </w:r>
      <w:r w:rsidR="005F5F05" w:rsidRPr="005F5F05">
        <w:fldChar w:fldCharType="end"/>
      </w:r>
      <w:r w:rsidR="52DAE462" w:rsidRPr="005F5F05">
        <w:t>.</w:t>
      </w:r>
      <w:r w:rsidR="084EFB41" w:rsidRPr="005F5F05">
        <w:t xml:space="preserve"> </w:t>
      </w:r>
      <w:r w:rsidR="0C3182BD" w:rsidRPr="005F5F05">
        <w:t>Material</w:t>
      </w:r>
      <w:r w:rsidR="0C3182BD">
        <w:t xml:space="preserve"> definitions for the ALFA simulations </w:t>
      </w:r>
      <w:r>
        <w:t>are</w:t>
      </w:r>
      <w:r w:rsidR="0C3182BD">
        <w:t xml:space="preserve"> more detailed, using 81</w:t>
      </w:r>
      <w:r w:rsidR="147683F7">
        <w:t>-</w:t>
      </w:r>
      <w:r w:rsidR="0C3182BD">
        <w:t xml:space="preserve">bin spectral reflectance distributions (SRD) for all surfaces. Multiple reflectance values </w:t>
      </w:r>
      <w:r>
        <w:t xml:space="preserve">can be </w:t>
      </w:r>
      <w:r w:rsidR="0C3182BD">
        <w:t>calculated</w:t>
      </w:r>
      <w:r>
        <w:t xml:space="preserve"> using these SRDs for </w:t>
      </w:r>
      <w:r w:rsidR="0C3182BD">
        <w:t xml:space="preserve">different portions of the visible spectrum; melanopic reflectance corresponds to the average reflectance within the bounds of the melanopic sensitivity function and photopic reflectance corresponds to reflectance within the bounds of the photopic sensitivity function. The M/P ratio compares these average reflectance values per surface. </w:t>
      </w:r>
      <w:r w:rsidR="00815214">
        <w:t xml:space="preserve">A summary of the average reflectance values as well as the M/P ratio of each surface is shown in </w:t>
      </w:r>
      <w:r w:rsidR="00815214" w:rsidRPr="005F5F05">
        <w:fldChar w:fldCharType="begin"/>
      </w:r>
      <w:r w:rsidR="00815214" w:rsidRPr="005F5F05">
        <w:instrText xml:space="preserve"> REF _Ref90705848 \h </w:instrText>
      </w:r>
      <w:r w:rsidR="00815214">
        <w:instrText xml:space="preserve"> \* MERGEFORMAT </w:instrText>
      </w:r>
      <w:r w:rsidR="00815214" w:rsidRPr="005F5F05">
        <w:fldChar w:fldCharType="separate"/>
      </w:r>
      <w:r w:rsidR="00815214" w:rsidRPr="005F5F05">
        <w:t>Table 3</w:t>
      </w:r>
      <w:r w:rsidR="00815214" w:rsidRPr="005F5F05">
        <w:fldChar w:fldCharType="end"/>
      </w:r>
      <w:r w:rsidR="00815214">
        <w:t xml:space="preserve">. </w:t>
      </w:r>
      <w:r w:rsidR="0C3182BD">
        <w:t>Note, the AGi32 and ALFA simulations had the same photopic reflectance values however, the average melanopic reflectance values differ given the full SRDs in ALFA include variations in material reflectance (and color) across the visible spectrum. Most of the surfaces used to simulate the Cook County office spaces are spectrally neutral, with an M/P ratio close to 1.00. The tan wall paint, however, is an example of a surface material that does not reflect short-wavelength energy compared to mid- or long-wavelength energy.</w:t>
      </w:r>
    </w:p>
    <w:p w14:paraId="4094E376" w14:textId="65BE7BC8" w:rsidR="156BE32E" w:rsidRPr="00526981" w:rsidRDefault="156BE32E" w:rsidP="1E3904C6">
      <w:pPr>
        <w:pStyle w:val="Caption"/>
        <w:keepNext/>
        <w:rPr>
          <w:b/>
          <w:bCs/>
        </w:rPr>
      </w:pPr>
      <w:bookmarkStart w:id="16" w:name="_Ref90705848"/>
      <w:r w:rsidRPr="00526981">
        <w:rPr>
          <w:b/>
          <w:bCs/>
          <w:i w:val="0"/>
          <w:iCs w:val="0"/>
          <w:color w:val="auto"/>
        </w:rPr>
        <w:t xml:space="preserve">Table </w:t>
      </w:r>
      <w:r w:rsidRPr="00526981">
        <w:rPr>
          <w:b/>
          <w:bCs/>
          <w:i w:val="0"/>
          <w:iCs w:val="0"/>
          <w:color w:val="auto"/>
        </w:rPr>
        <w:fldChar w:fldCharType="begin"/>
      </w:r>
      <w:r w:rsidRPr="00526981">
        <w:rPr>
          <w:b/>
          <w:bCs/>
          <w:i w:val="0"/>
          <w:iCs w:val="0"/>
          <w:color w:val="auto"/>
        </w:rPr>
        <w:instrText xml:space="preserve"> SEQ Table \* ARABIC </w:instrText>
      </w:r>
      <w:r w:rsidRPr="00526981">
        <w:rPr>
          <w:b/>
          <w:bCs/>
          <w:i w:val="0"/>
          <w:iCs w:val="0"/>
          <w:color w:val="auto"/>
        </w:rPr>
        <w:fldChar w:fldCharType="separate"/>
      </w:r>
      <w:r w:rsidR="00A60E2D" w:rsidRPr="00526981">
        <w:rPr>
          <w:b/>
          <w:bCs/>
          <w:i w:val="0"/>
          <w:iCs w:val="0"/>
          <w:noProof/>
          <w:color w:val="auto"/>
        </w:rPr>
        <w:t>3</w:t>
      </w:r>
      <w:r w:rsidRPr="00526981">
        <w:rPr>
          <w:b/>
          <w:bCs/>
          <w:i w:val="0"/>
          <w:iCs w:val="0"/>
          <w:color w:val="auto"/>
        </w:rPr>
        <w:fldChar w:fldCharType="end"/>
      </w:r>
      <w:bookmarkEnd w:id="16"/>
      <w:r w:rsidR="21431D48" w:rsidRPr="00526981">
        <w:rPr>
          <w:b/>
          <w:bCs/>
          <w:i w:val="0"/>
          <w:iCs w:val="0"/>
          <w:color w:val="auto"/>
        </w:rPr>
        <w:t>.</w:t>
      </w:r>
      <w:r w:rsidR="4A628DF4" w:rsidRPr="00526981">
        <w:rPr>
          <w:b/>
          <w:bCs/>
          <w:i w:val="0"/>
          <w:iCs w:val="0"/>
          <w:color w:val="auto"/>
        </w:rPr>
        <w:t xml:space="preserve"> Summary of the average photopic and melanopic reflectance values and M/P ratios for all surface</w:t>
      </w:r>
      <w:r w:rsidR="67BB3302" w:rsidRPr="00526981">
        <w:rPr>
          <w:b/>
          <w:bCs/>
          <w:i w:val="0"/>
          <w:iCs w:val="0"/>
          <w:color w:val="auto"/>
        </w:rPr>
        <w:t xml:space="preserve"> materials</w:t>
      </w:r>
      <w:r w:rsidR="4A628DF4" w:rsidRPr="00526981">
        <w:rPr>
          <w:b/>
          <w:bCs/>
          <w:i w:val="0"/>
          <w:iCs w:val="0"/>
          <w:color w:val="auto"/>
        </w:rPr>
        <w:t xml:space="preserve"> included in the 23</w:t>
      </w:r>
      <w:r w:rsidR="4A628DF4" w:rsidRPr="00526981">
        <w:rPr>
          <w:b/>
          <w:bCs/>
          <w:i w:val="0"/>
          <w:iCs w:val="0"/>
          <w:color w:val="auto"/>
          <w:vertAlign w:val="superscript"/>
        </w:rPr>
        <w:t>rd</w:t>
      </w:r>
      <w:r w:rsidR="4A628DF4" w:rsidRPr="00526981">
        <w:rPr>
          <w:b/>
          <w:bCs/>
          <w:i w:val="0"/>
          <w:iCs w:val="0"/>
          <w:color w:val="auto"/>
        </w:rPr>
        <w:t xml:space="preserve"> floor spaces.</w:t>
      </w:r>
      <w:r w:rsidR="4A628DF4" w:rsidRPr="00526981">
        <w:rPr>
          <w:color w:val="auto"/>
        </w:rPr>
        <w:t xml:space="preserve"> </w:t>
      </w:r>
      <w:r w:rsidR="21431D48" w:rsidRPr="00526981">
        <w:rPr>
          <w:i w:val="0"/>
          <w:iCs w:val="0"/>
          <w:color w:val="auto"/>
        </w:rPr>
        <w:t>The AGi32 simulation</w:t>
      </w:r>
      <w:r w:rsidR="4A628DF4" w:rsidRPr="00526981">
        <w:rPr>
          <w:i w:val="0"/>
          <w:iCs w:val="0"/>
          <w:color w:val="auto"/>
        </w:rPr>
        <w:t xml:space="preserve"> used the average photopic reflectance value to represent each surface </w:t>
      </w:r>
      <w:r w:rsidR="1CF06972" w:rsidRPr="00526981">
        <w:rPr>
          <w:i w:val="0"/>
          <w:iCs w:val="0"/>
          <w:color w:val="auto"/>
        </w:rPr>
        <w:t xml:space="preserve">material </w:t>
      </w:r>
      <w:r w:rsidR="4A628DF4" w:rsidRPr="00526981">
        <w:rPr>
          <w:i w:val="0"/>
          <w:iCs w:val="0"/>
          <w:color w:val="auto"/>
        </w:rPr>
        <w:t xml:space="preserve">while the four ALFA colored lighting conditions used the full spectral reflectance distribution from 380 to 780 nm. </w:t>
      </w:r>
      <w:r w:rsidR="2FED0675" w:rsidRPr="00526981">
        <w:rPr>
          <w:i w:val="0"/>
          <w:iCs w:val="0"/>
          <w:color w:val="auto"/>
        </w:rPr>
        <w:t xml:space="preserve">Material melanopic and M/P values </w:t>
      </w:r>
      <w:r w:rsidR="17881CC3" w:rsidRPr="00526981">
        <w:rPr>
          <w:i w:val="0"/>
          <w:iCs w:val="0"/>
          <w:color w:val="auto"/>
        </w:rPr>
        <w:t xml:space="preserve">are also included. </w:t>
      </w:r>
    </w:p>
    <w:tbl>
      <w:tblPr>
        <w:tblStyle w:val="PlainTable3"/>
        <w:tblW w:w="5970" w:type="dxa"/>
        <w:jc w:val="center"/>
        <w:tblLook w:val="0420" w:firstRow="1" w:lastRow="0" w:firstColumn="0" w:lastColumn="0" w:noHBand="0" w:noVBand="1"/>
      </w:tblPr>
      <w:tblGrid>
        <w:gridCol w:w="1965"/>
        <w:gridCol w:w="1335"/>
        <w:gridCol w:w="1500"/>
        <w:gridCol w:w="1170"/>
      </w:tblGrid>
      <w:tr w:rsidR="5FEBF492" w14:paraId="765A7EBB" w14:textId="77777777" w:rsidTr="45DB48C2">
        <w:trPr>
          <w:cnfStyle w:val="100000000000" w:firstRow="1" w:lastRow="0" w:firstColumn="0" w:lastColumn="0" w:oddVBand="0" w:evenVBand="0" w:oddHBand="0" w:evenHBand="0" w:firstRowFirstColumn="0" w:firstRowLastColumn="0" w:lastRowFirstColumn="0" w:lastRowLastColumn="0"/>
          <w:trHeight w:val="374"/>
          <w:jc w:val="center"/>
        </w:trPr>
        <w:tc>
          <w:tcPr>
            <w:tcW w:w="1965" w:type="dxa"/>
            <w:vAlign w:val="bottom"/>
          </w:tcPr>
          <w:p w14:paraId="53DFF1BD"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aps w:val="0"/>
                <w:color w:val="000000" w:themeColor="text1"/>
              </w:rPr>
              <w:t>Surfaces</w:t>
            </w:r>
          </w:p>
        </w:tc>
        <w:tc>
          <w:tcPr>
            <w:tcW w:w="1335" w:type="dxa"/>
          </w:tcPr>
          <w:p w14:paraId="7FDB8B4B"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aps w:val="0"/>
                <w:color w:val="000000" w:themeColor="text1"/>
              </w:rPr>
              <w:t>Melanopic Reflectance</w:t>
            </w:r>
          </w:p>
        </w:tc>
        <w:tc>
          <w:tcPr>
            <w:tcW w:w="1500" w:type="dxa"/>
          </w:tcPr>
          <w:p w14:paraId="412A5E18"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aps w:val="0"/>
                <w:color w:val="000000" w:themeColor="text1"/>
              </w:rPr>
              <w:t>Photopic Reflectance</w:t>
            </w:r>
          </w:p>
        </w:tc>
        <w:tc>
          <w:tcPr>
            <w:tcW w:w="1170" w:type="dxa"/>
          </w:tcPr>
          <w:p w14:paraId="707A533A" w14:textId="288F8DB8" w:rsidR="5FEBF492" w:rsidRDefault="794761B8" w:rsidP="45DB48C2">
            <w:pPr>
              <w:spacing w:line="259" w:lineRule="auto"/>
              <w:jc w:val="center"/>
              <w:rPr>
                <w:rFonts w:ascii="Calibri" w:eastAsia="Times New Roman" w:hAnsi="Calibri" w:cs="Calibri"/>
                <w:color w:val="000000" w:themeColor="text1"/>
              </w:rPr>
            </w:pPr>
            <w:r w:rsidRPr="45DB48C2">
              <w:rPr>
                <w:rFonts w:ascii="Calibri" w:eastAsia="Times New Roman" w:hAnsi="Calibri" w:cs="Calibri"/>
                <w:caps w:val="0"/>
                <w:color w:val="000000" w:themeColor="text1"/>
              </w:rPr>
              <w:t xml:space="preserve">Material </w:t>
            </w:r>
            <w:r w:rsidR="2CCE85C9" w:rsidRPr="45DB48C2">
              <w:rPr>
                <w:rFonts w:ascii="Calibri" w:eastAsia="Times New Roman" w:hAnsi="Calibri" w:cs="Calibri"/>
                <w:caps w:val="0"/>
                <w:color w:val="000000" w:themeColor="text1"/>
              </w:rPr>
              <w:t>M/P</w:t>
            </w:r>
          </w:p>
        </w:tc>
      </w:tr>
      <w:tr w:rsidR="5FEBF492" w14:paraId="4B275924" w14:textId="77777777" w:rsidTr="45DB48C2">
        <w:trPr>
          <w:cnfStyle w:val="000000100000" w:firstRow="0" w:lastRow="0" w:firstColumn="0" w:lastColumn="0" w:oddVBand="0" w:evenVBand="0" w:oddHBand="1" w:evenHBand="0" w:firstRowFirstColumn="0" w:firstRowLastColumn="0" w:lastRowFirstColumn="0" w:lastRowLastColumn="0"/>
          <w:trHeight w:val="212"/>
          <w:jc w:val="center"/>
        </w:trPr>
        <w:tc>
          <w:tcPr>
            <w:tcW w:w="1965" w:type="dxa"/>
          </w:tcPr>
          <w:p w14:paraId="647D44F7"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 xml:space="preserve">Ceiling </w:t>
            </w:r>
          </w:p>
        </w:tc>
        <w:tc>
          <w:tcPr>
            <w:tcW w:w="1335" w:type="dxa"/>
          </w:tcPr>
          <w:p w14:paraId="79E55FD2"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77%</w:t>
            </w:r>
          </w:p>
        </w:tc>
        <w:tc>
          <w:tcPr>
            <w:tcW w:w="1500" w:type="dxa"/>
          </w:tcPr>
          <w:p w14:paraId="717B741C"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82%</w:t>
            </w:r>
          </w:p>
        </w:tc>
        <w:tc>
          <w:tcPr>
            <w:tcW w:w="1170" w:type="dxa"/>
          </w:tcPr>
          <w:p w14:paraId="1E643FD0"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0.94</w:t>
            </w:r>
          </w:p>
        </w:tc>
      </w:tr>
      <w:tr w:rsidR="5FEBF492" w14:paraId="03532538" w14:textId="77777777" w:rsidTr="45DB48C2">
        <w:trPr>
          <w:trHeight w:val="212"/>
          <w:jc w:val="center"/>
        </w:trPr>
        <w:tc>
          <w:tcPr>
            <w:tcW w:w="1965" w:type="dxa"/>
          </w:tcPr>
          <w:p w14:paraId="34F860C9"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Desktops</w:t>
            </w:r>
          </w:p>
        </w:tc>
        <w:tc>
          <w:tcPr>
            <w:tcW w:w="1335" w:type="dxa"/>
          </w:tcPr>
          <w:p w14:paraId="037A04F0"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6%</w:t>
            </w:r>
          </w:p>
        </w:tc>
        <w:tc>
          <w:tcPr>
            <w:tcW w:w="1500" w:type="dxa"/>
          </w:tcPr>
          <w:p w14:paraId="0AF2D76A"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10%</w:t>
            </w:r>
          </w:p>
        </w:tc>
        <w:tc>
          <w:tcPr>
            <w:tcW w:w="1170" w:type="dxa"/>
          </w:tcPr>
          <w:p w14:paraId="1B430021"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0.65</w:t>
            </w:r>
          </w:p>
        </w:tc>
      </w:tr>
      <w:tr w:rsidR="5FEBF492" w14:paraId="7A5064C5" w14:textId="77777777" w:rsidTr="45DB48C2">
        <w:trPr>
          <w:cnfStyle w:val="000000100000" w:firstRow="0" w:lastRow="0" w:firstColumn="0" w:lastColumn="0" w:oddVBand="0" w:evenVBand="0" w:oddHBand="1" w:evenHBand="0" w:firstRowFirstColumn="0" w:firstRowLastColumn="0" w:lastRowFirstColumn="0" w:lastRowLastColumn="0"/>
          <w:trHeight w:val="212"/>
          <w:jc w:val="center"/>
        </w:trPr>
        <w:tc>
          <w:tcPr>
            <w:tcW w:w="1965" w:type="dxa"/>
          </w:tcPr>
          <w:p w14:paraId="1E913A4F"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 xml:space="preserve">Desk Cabinets </w:t>
            </w:r>
          </w:p>
        </w:tc>
        <w:tc>
          <w:tcPr>
            <w:tcW w:w="1335" w:type="dxa"/>
          </w:tcPr>
          <w:p w14:paraId="0028FDDD"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80%</w:t>
            </w:r>
          </w:p>
        </w:tc>
        <w:tc>
          <w:tcPr>
            <w:tcW w:w="1500" w:type="dxa"/>
          </w:tcPr>
          <w:p w14:paraId="7BC5D581"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83%</w:t>
            </w:r>
          </w:p>
        </w:tc>
        <w:tc>
          <w:tcPr>
            <w:tcW w:w="1170" w:type="dxa"/>
          </w:tcPr>
          <w:p w14:paraId="581E7118"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0.97</w:t>
            </w:r>
          </w:p>
        </w:tc>
      </w:tr>
      <w:tr w:rsidR="5FEBF492" w14:paraId="00CE0B01" w14:textId="77777777" w:rsidTr="45DB48C2">
        <w:trPr>
          <w:trHeight w:val="212"/>
          <w:jc w:val="center"/>
        </w:trPr>
        <w:tc>
          <w:tcPr>
            <w:tcW w:w="1965" w:type="dxa"/>
          </w:tcPr>
          <w:p w14:paraId="0533750C"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Desk Partitions</w:t>
            </w:r>
          </w:p>
        </w:tc>
        <w:tc>
          <w:tcPr>
            <w:tcW w:w="1335" w:type="dxa"/>
          </w:tcPr>
          <w:p w14:paraId="44BBBC28"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48%</w:t>
            </w:r>
          </w:p>
        </w:tc>
        <w:tc>
          <w:tcPr>
            <w:tcW w:w="1500" w:type="dxa"/>
          </w:tcPr>
          <w:p w14:paraId="066B4ED8"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58%</w:t>
            </w:r>
          </w:p>
        </w:tc>
        <w:tc>
          <w:tcPr>
            <w:tcW w:w="1170" w:type="dxa"/>
          </w:tcPr>
          <w:p w14:paraId="2F36F140"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0.82</w:t>
            </w:r>
          </w:p>
        </w:tc>
      </w:tr>
      <w:tr w:rsidR="5FEBF492" w14:paraId="5DF3BD4D" w14:textId="77777777" w:rsidTr="45DB48C2">
        <w:trPr>
          <w:cnfStyle w:val="000000100000" w:firstRow="0" w:lastRow="0" w:firstColumn="0" w:lastColumn="0" w:oddVBand="0" w:evenVBand="0" w:oddHBand="1" w:evenHBand="0" w:firstRowFirstColumn="0" w:firstRowLastColumn="0" w:lastRowFirstColumn="0" w:lastRowLastColumn="0"/>
          <w:trHeight w:val="212"/>
          <w:jc w:val="center"/>
        </w:trPr>
        <w:tc>
          <w:tcPr>
            <w:tcW w:w="1965" w:type="dxa"/>
          </w:tcPr>
          <w:p w14:paraId="73F4713D"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Floor</w:t>
            </w:r>
          </w:p>
        </w:tc>
        <w:tc>
          <w:tcPr>
            <w:tcW w:w="1335" w:type="dxa"/>
          </w:tcPr>
          <w:p w14:paraId="131C4A01"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21%</w:t>
            </w:r>
          </w:p>
        </w:tc>
        <w:tc>
          <w:tcPr>
            <w:tcW w:w="1500" w:type="dxa"/>
          </w:tcPr>
          <w:p w14:paraId="39A316C9"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22%</w:t>
            </w:r>
          </w:p>
        </w:tc>
        <w:tc>
          <w:tcPr>
            <w:tcW w:w="1170" w:type="dxa"/>
          </w:tcPr>
          <w:p w14:paraId="50700A13"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0.98</w:t>
            </w:r>
          </w:p>
        </w:tc>
      </w:tr>
      <w:tr w:rsidR="5FEBF492" w14:paraId="7543CF4A" w14:textId="77777777" w:rsidTr="45DB48C2">
        <w:trPr>
          <w:trHeight w:val="212"/>
          <w:jc w:val="center"/>
        </w:trPr>
        <w:tc>
          <w:tcPr>
            <w:tcW w:w="1965" w:type="dxa"/>
          </w:tcPr>
          <w:p w14:paraId="4B0EC4B6"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Glazing*</w:t>
            </w:r>
          </w:p>
        </w:tc>
        <w:tc>
          <w:tcPr>
            <w:tcW w:w="1335" w:type="dxa"/>
          </w:tcPr>
          <w:p w14:paraId="3C6D1679"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46%</w:t>
            </w:r>
          </w:p>
        </w:tc>
        <w:tc>
          <w:tcPr>
            <w:tcW w:w="1500" w:type="dxa"/>
          </w:tcPr>
          <w:p w14:paraId="61680F97"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45%</w:t>
            </w:r>
          </w:p>
        </w:tc>
        <w:tc>
          <w:tcPr>
            <w:tcW w:w="1170" w:type="dxa"/>
          </w:tcPr>
          <w:p w14:paraId="31F9363A"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1.01</w:t>
            </w:r>
          </w:p>
        </w:tc>
      </w:tr>
      <w:tr w:rsidR="5FEBF492" w14:paraId="6B285477" w14:textId="77777777" w:rsidTr="45DB48C2">
        <w:trPr>
          <w:cnfStyle w:val="000000100000" w:firstRow="0" w:lastRow="0" w:firstColumn="0" w:lastColumn="0" w:oddVBand="0" w:evenVBand="0" w:oddHBand="1" w:evenHBand="0" w:firstRowFirstColumn="0" w:firstRowLastColumn="0" w:lastRowFirstColumn="0" w:lastRowLastColumn="0"/>
          <w:trHeight w:val="212"/>
          <w:jc w:val="center"/>
        </w:trPr>
        <w:tc>
          <w:tcPr>
            <w:tcW w:w="1965" w:type="dxa"/>
          </w:tcPr>
          <w:p w14:paraId="71626C4F"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Interior Doors</w:t>
            </w:r>
          </w:p>
        </w:tc>
        <w:tc>
          <w:tcPr>
            <w:tcW w:w="1335" w:type="dxa"/>
          </w:tcPr>
          <w:p w14:paraId="71A15790"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9%</w:t>
            </w:r>
          </w:p>
        </w:tc>
        <w:tc>
          <w:tcPr>
            <w:tcW w:w="1500" w:type="dxa"/>
          </w:tcPr>
          <w:p w14:paraId="6BBEDA25"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9%</w:t>
            </w:r>
          </w:p>
        </w:tc>
        <w:tc>
          <w:tcPr>
            <w:tcW w:w="1170" w:type="dxa"/>
          </w:tcPr>
          <w:p w14:paraId="392513D8"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1.03</w:t>
            </w:r>
          </w:p>
        </w:tc>
      </w:tr>
      <w:tr w:rsidR="5FEBF492" w14:paraId="2F8C05C3" w14:textId="77777777" w:rsidTr="45DB48C2">
        <w:trPr>
          <w:trHeight w:val="212"/>
          <w:jc w:val="center"/>
        </w:trPr>
        <w:tc>
          <w:tcPr>
            <w:tcW w:w="1965" w:type="dxa"/>
          </w:tcPr>
          <w:p w14:paraId="2B99AAC3"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Interior Glass*</w:t>
            </w:r>
          </w:p>
        </w:tc>
        <w:tc>
          <w:tcPr>
            <w:tcW w:w="1335" w:type="dxa"/>
          </w:tcPr>
          <w:p w14:paraId="724F9E44"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89%</w:t>
            </w:r>
          </w:p>
        </w:tc>
        <w:tc>
          <w:tcPr>
            <w:tcW w:w="1500" w:type="dxa"/>
          </w:tcPr>
          <w:p w14:paraId="03ECEF67"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88%</w:t>
            </w:r>
          </w:p>
        </w:tc>
        <w:tc>
          <w:tcPr>
            <w:tcW w:w="1170" w:type="dxa"/>
          </w:tcPr>
          <w:p w14:paraId="75BF1AB0"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1.01</w:t>
            </w:r>
          </w:p>
        </w:tc>
      </w:tr>
      <w:tr w:rsidR="5FEBF492" w14:paraId="243280DC" w14:textId="77777777" w:rsidTr="45DB48C2">
        <w:trPr>
          <w:cnfStyle w:val="000000100000" w:firstRow="0" w:lastRow="0" w:firstColumn="0" w:lastColumn="0" w:oddVBand="0" w:evenVBand="0" w:oddHBand="1" w:evenHBand="0" w:firstRowFirstColumn="0" w:firstRowLastColumn="0" w:lastRowFirstColumn="0" w:lastRowLastColumn="0"/>
          <w:trHeight w:val="212"/>
          <w:jc w:val="center"/>
        </w:trPr>
        <w:tc>
          <w:tcPr>
            <w:tcW w:w="1965" w:type="dxa"/>
          </w:tcPr>
          <w:p w14:paraId="3D088D07"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Wall Paint (Blue)</w:t>
            </w:r>
          </w:p>
        </w:tc>
        <w:tc>
          <w:tcPr>
            <w:tcW w:w="1335" w:type="dxa"/>
          </w:tcPr>
          <w:p w14:paraId="6AC3DEFB"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23%</w:t>
            </w:r>
          </w:p>
        </w:tc>
        <w:tc>
          <w:tcPr>
            <w:tcW w:w="1500" w:type="dxa"/>
          </w:tcPr>
          <w:p w14:paraId="589FCAAA"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22%</w:t>
            </w:r>
          </w:p>
        </w:tc>
        <w:tc>
          <w:tcPr>
            <w:tcW w:w="1170" w:type="dxa"/>
          </w:tcPr>
          <w:p w14:paraId="49018025"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1.08</w:t>
            </w:r>
          </w:p>
        </w:tc>
      </w:tr>
      <w:tr w:rsidR="5FEBF492" w14:paraId="61C3D686" w14:textId="77777777" w:rsidTr="45DB48C2">
        <w:trPr>
          <w:trHeight w:val="212"/>
          <w:jc w:val="center"/>
        </w:trPr>
        <w:tc>
          <w:tcPr>
            <w:tcW w:w="1965" w:type="dxa"/>
          </w:tcPr>
          <w:p w14:paraId="0A586D73"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Wall Paint (Tan)</w:t>
            </w:r>
          </w:p>
        </w:tc>
        <w:tc>
          <w:tcPr>
            <w:tcW w:w="1335" w:type="dxa"/>
          </w:tcPr>
          <w:p w14:paraId="2B96DE50"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68%</w:t>
            </w:r>
          </w:p>
        </w:tc>
        <w:tc>
          <w:tcPr>
            <w:tcW w:w="1500" w:type="dxa"/>
          </w:tcPr>
          <w:p w14:paraId="6B9BD28B"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78%</w:t>
            </w:r>
          </w:p>
        </w:tc>
        <w:tc>
          <w:tcPr>
            <w:tcW w:w="1170" w:type="dxa"/>
          </w:tcPr>
          <w:p w14:paraId="384B0EBD"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0.87</w:t>
            </w:r>
          </w:p>
        </w:tc>
      </w:tr>
      <w:tr w:rsidR="5FEBF492" w14:paraId="16E7A93F" w14:textId="77777777" w:rsidTr="45DB48C2">
        <w:trPr>
          <w:cnfStyle w:val="000000100000" w:firstRow="0" w:lastRow="0" w:firstColumn="0" w:lastColumn="0" w:oddVBand="0" w:evenVBand="0" w:oddHBand="1" w:evenHBand="0" w:firstRowFirstColumn="0" w:firstRowLastColumn="0" w:lastRowFirstColumn="0" w:lastRowLastColumn="0"/>
          <w:trHeight w:val="212"/>
          <w:jc w:val="center"/>
        </w:trPr>
        <w:tc>
          <w:tcPr>
            <w:tcW w:w="1965" w:type="dxa"/>
          </w:tcPr>
          <w:p w14:paraId="684D34F0" w14:textId="77777777" w:rsidR="5FEBF492" w:rsidRDefault="5FEBF492" w:rsidP="5FEBF492">
            <w:pPr>
              <w:rPr>
                <w:rFonts w:ascii="Calibri" w:eastAsia="Times New Roman" w:hAnsi="Calibri" w:cs="Calibri"/>
                <w:color w:val="000000" w:themeColor="text1"/>
              </w:rPr>
            </w:pPr>
            <w:r w:rsidRPr="5FEBF492">
              <w:rPr>
                <w:rFonts w:ascii="Calibri" w:eastAsia="Times New Roman" w:hAnsi="Calibri" w:cs="Calibri"/>
                <w:color w:val="000000" w:themeColor="text1"/>
              </w:rPr>
              <w:t>Wall Paint (White)</w:t>
            </w:r>
          </w:p>
        </w:tc>
        <w:tc>
          <w:tcPr>
            <w:tcW w:w="1335" w:type="dxa"/>
          </w:tcPr>
          <w:p w14:paraId="6AA00C64"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76%</w:t>
            </w:r>
          </w:p>
        </w:tc>
        <w:tc>
          <w:tcPr>
            <w:tcW w:w="1500" w:type="dxa"/>
          </w:tcPr>
          <w:p w14:paraId="79A58AF5"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78%</w:t>
            </w:r>
          </w:p>
        </w:tc>
        <w:tc>
          <w:tcPr>
            <w:tcW w:w="1170" w:type="dxa"/>
          </w:tcPr>
          <w:p w14:paraId="1D9C2F40" w14:textId="77777777" w:rsidR="5FEBF492" w:rsidRDefault="5FEBF492" w:rsidP="5FEBF492">
            <w:pPr>
              <w:jc w:val="center"/>
              <w:rPr>
                <w:rFonts w:ascii="Calibri" w:eastAsia="Times New Roman" w:hAnsi="Calibri" w:cs="Calibri"/>
                <w:color w:val="000000" w:themeColor="text1"/>
              </w:rPr>
            </w:pPr>
            <w:r w:rsidRPr="5FEBF492">
              <w:rPr>
                <w:rFonts w:ascii="Calibri" w:eastAsia="Times New Roman" w:hAnsi="Calibri" w:cs="Calibri"/>
                <w:color w:val="000000" w:themeColor="text1"/>
              </w:rPr>
              <w:t>0.97</w:t>
            </w:r>
          </w:p>
        </w:tc>
      </w:tr>
      <w:tr w:rsidR="5FEBF492" w14:paraId="0CB5AA5B" w14:textId="77777777" w:rsidTr="45DB48C2">
        <w:trPr>
          <w:trHeight w:val="212"/>
          <w:jc w:val="center"/>
        </w:trPr>
        <w:tc>
          <w:tcPr>
            <w:tcW w:w="5970" w:type="dxa"/>
            <w:gridSpan w:val="4"/>
          </w:tcPr>
          <w:p w14:paraId="3DC392A0" w14:textId="446DCE8E" w:rsidR="5FEBF492" w:rsidRDefault="5FEBF492" w:rsidP="5FEBF492">
            <w:pPr>
              <w:rPr>
                <w:rFonts w:ascii="Calibri" w:eastAsia="Times New Roman" w:hAnsi="Calibri" w:cs="Calibri"/>
                <w:color w:val="000000" w:themeColor="text1"/>
                <w:sz w:val="16"/>
                <w:szCs w:val="16"/>
              </w:rPr>
            </w:pPr>
            <w:r w:rsidRPr="5FEBF492">
              <w:rPr>
                <w:rFonts w:ascii="Calibri" w:eastAsia="Times New Roman" w:hAnsi="Calibri" w:cs="Calibri"/>
                <w:color w:val="000000" w:themeColor="text1"/>
                <w:sz w:val="18"/>
                <w:szCs w:val="18"/>
              </w:rPr>
              <w:t>*Values correspond to average transmittance of material</w:t>
            </w:r>
          </w:p>
        </w:tc>
      </w:tr>
    </w:tbl>
    <w:p w14:paraId="283F196F" w14:textId="38233F9F" w:rsidR="1B4CFE49" w:rsidRDefault="1B4CFE49" w:rsidP="5FEBF492">
      <w:pPr>
        <w:keepNext/>
      </w:pPr>
    </w:p>
    <w:p w14:paraId="00BDBDC5" w14:textId="38978468" w:rsidR="1B4CFE49" w:rsidRDefault="0C3182BD" w:rsidP="0C3182BD">
      <w:pPr>
        <w:keepNext/>
      </w:pPr>
      <w:r>
        <w:t xml:space="preserve">The same photometric files were used in AGi32 and ALFA to represent the four luminaire types specified in the open office spaces. Full light source SPDs, displayed in </w:t>
      </w:r>
      <w:r w:rsidR="00E44627">
        <w:fldChar w:fldCharType="begin"/>
      </w:r>
      <w:r w:rsidR="00E44627">
        <w:instrText xml:space="preserve"> REF _Ref90029014 \h  \* MERGEFORMAT </w:instrText>
      </w:r>
      <w:r w:rsidR="00E44627">
        <w:fldChar w:fldCharType="separate"/>
      </w:r>
      <w:r w:rsidR="17FC49AC" w:rsidRPr="7B474BA8">
        <w:rPr>
          <w:b/>
          <w:bCs/>
        </w:rPr>
        <w:t xml:space="preserve">Figure </w:t>
      </w:r>
      <w:r w:rsidR="17FC49AC" w:rsidRPr="7B474BA8">
        <w:rPr>
          <w:b/>
          <w:bCs/>
          <w:noProof/>
        </w:rPr>
        <w:t>4</w:t>
      </w:r>
      <w:r w:rsidR="00E44627">
        <w:fldChar w:fldCharType="end"/>
      </w:r>
      <w:r w:rsidR="00E44627">
        <w:t>,</w:t>
      </w:r>
      <w:r>
        <w:t xml:space="preserve"> represent the different colored lighting conditions planned for the office space and can be simulated using 5 nm increments in ALFA. Four SPD conditions, from 3000 K to 5000 K, were simulated in ALFA and for the remainder of this report, these SPDs will be described using the nominal CCT values. </w:t>
      </w:r>
      <w:r w:rsidR="00E44627">
        <w:t xml:space="preserve"> </w:t>
      </w:r>
    </w:p>
    <w:p w14:paraId="642F542D" w14:textId="31F7A2C0" w:rsidR="3B81E36B" w:rsidRDefault="3B81E36B" w:rsidP="7B474BA8">
      <w:pPr>
        <w:jc w:val="center"/>
      </w:pPr>
      <w:r>
        <w:rPr>
          <w:noProof/>
        </w:rPr>
        <w:drawing>
          <wp:inline distT="0" distB="0" distL="0" distR="0" wp14:anchorId="5942F785" wp14:editId="4D57B8B0">
            <wp:extent cx="5010150" cy="2839085"/>
            <wp:effectExtent l="0" t="0" r="0" b="0"/>
            <wp:docPr id="1297000398" name="Picture 12970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0150" cy="2839085"/>
                    </a:xfrm>
                    <a:prstGeom prst="rect">
                      <a:avLst/>
                    </a:prstGeom>
                  </pic:spPr>
                </pic:pic>
              </a:graphicData>
            </a:graphic>
          </wp:inline>
        </w:drawing>
      </w:r>
    </w:p>
    <w:p w14:paraId="6BAEB6CD" w14:textId="6D2BF7BA" w:rsidR="5D0EDCA7" w:rsidRPr="00526981" w:rsidRDefault="6AD07C49" w:rsidP="002751B2">
      <w:pPr>
        <w:pStyle w:val="Caption"/>
        <w:rPr>
          <w:b/>
          <w:i w:val="0"/>
          <w:color w:val="auto"/>
        </w:rPr>
      </w:pPr>
      <w:bookmarkStart w:id="17" w:name="_Ref90029014"/>
      <w:r w:rsidRPr="00526981">
        <w:rPr>
          <w:b/>
          <w:i w:val="0"/>
          <w:color w:val="auto"/>
        </w:rPr>
        <w:t xml:space="preserve">Figure </w:t>
      </w:r>
      <w:r w:rsidR="002751B2" w:rsidRPr="00526981">
        <w:rPr>
          <w:b/>
          <w:bCs/>
          <w:i w:val="0"/>
          <w:iCs w:val="0"/>
          <w:color w:val="auto"/>
        </w:rPr>
        <w:fldChar w:fldCharType="begin"/>
      </w:r>
      <w:r w:rsidR="002751B2" w:rsidRPr="00526981">
        <w:rPr>
          <w:b/>
          <w:bCs/>
          <w:i w:val="0"/>
          <w:iCs w:val="0"/>
          <w:color w:val="auto"/>
        </w:rPr>
        <w:instrText xml:space="preserve"> SEQ Figure \* ARABIC </w:instrText>
      </w:r>
      <w:r w:rsidR="002751B2" w:rsidRPr="00526981">
        <w:rPr>
          <w:b/>
          <w:bCs/>
          <w:i w:val="0"/>
          <w:iCs w:val="0"/>
          <w:color w:val="auto"/>
        </w:rPr>
        <w:fldChar w:fldCharType="separate"/>
      </w:r>
      <w:r w:rsidR="00A60E2D" w:rsidRPr="00526981">
        <w:rPr>
          <w:b/>
          <w:bCs/>
          <w:i w:val="0"/>
          <w:iCs w:val="0"/>
          <w:noProof/>
          <w:color w:val="auto"/>
        </w:rPr>
        <w:t>6</w:t>
      </w:r>
      <w:r w:rsidR="002751B2" w:rsidRPr="00526981">
        <w:rPr>
          <w:b/>
          <w:bCs/>
          <w:i w:val="0"/>
          <w:iCs w:val="0"/>
          <w:color w:val="auto"/>
        </w:rPr>
        <w:fldChar w:fldCharType="end"/>
      </w:r>
      <w:bookmarkEnd w:id="17"/>
      <w:r w:rsidRPr="00526981">
        <w:rPr>
          <w:b/>
          <w:bCs/>
          <w:i w:val="0"/>
          <w:iCs w:val="0"/>
          <w:color w:val="auto"/>
        </w:rPr>
        <w:t>.</w:t>
      </w:r>
      <w:r w:rsidRPr="00526981">
        <w:rPr>
          <w:i w:val="0"/>
          <w:color w:val="auto"/>
        </w:rPr>
        <w:t xml:space="preserve"> </w:t>
      </w:r>
      <w:r w:rsidRPr="00526981">
        <w:rPr>
          <w:b/>
          <w:i w:val="0"/>
          <w:color w:val="auto"/>
        </w:rPr>
        <w:t>Relative spectral power distributions of luminaires used in ALFA simulations.</w:t>
      </w:r>
      <w:r w:rsidRPr="00526981">
        <w:rPr>
          <w:i w:val="0"/>
          <w:color w:val="auto"/>
        </w:rPr>
        <w:t xml:space="preserve"> The four colored lighting conditions that were specified for the Cook County office space are plotted and labeled using the corresponding CCT values. The M/P ratio for each CCT condition is included in parentheses. The melanopic and photopic sensitivity functions are plotted for predicting the melanopsin-driven and visual responses to light. </w:t>
      </w:r>
    </w:p>
    <w:p w14:paraId="7022FAA3" w14:textId="1D3B2143" w:rsidR="3EA53C93" w:rsidRDefault="0F0D9648" w:rsidP="0C3182BD">
      <w:pPr>
        <w:keepNext/>
        <w:rPr>
          <w:rFonts w:ascii="Calibri" w:eastAsia="Calibri" w:hAnsi="Calibri" w:cs="Calibri"/>
          <w:color w:val="000000" w:themeColor="text1"/>
        </w:rPr>
      </w:pPr>
      <w:r w:rsidRPr="7B474BA8">
        <w:rPr>
          <w:rFonts w:ascii="Calibri" w:eastAsia="Calibri" w:hAnsi="Calibri" w:cs="Calibri"/>
          <w:color w:val="000000" w:themeColor="text1"/>
        </w:rPr>
        <w:t xml:space="preserve">It cannot be assumed that daylight would contribute consistent levels of EML or CS during the daytime hours, particularly for those workstations further away from the exterior windows and so daylight was not considered in the </w:t>
      </w:r>
      <w:r w:rsidR="5B1AC6AB" w:rsidRPr="7B474BA8">
        <w:rPr>
          <w:rFonts w:ascii="Calibri" w:eastAsia="Calibri" w:hAnsi="Calibri" w:cs="Calibri"/>
          <w:color w:val="000000" w:themeColor="text1"/>
        </w:rPr>
        <w:t>lighting</w:t>
      </w:r>
      <w:r w:rsidRPr="7B474BA8">
        <w:rPr>
          <w:rFonts w:ascii="Calibri" w:eastAsia="Calibri" w:hAnsi="Calibri" w:cs="Calibri"/>
          <w:color w:val="000000" w:themeColor="text1"/>
        </w:rPr>
        <w:t xml:space="preserve"> simulations. </w:t>
      </w:r>
      <w:r w:rsidR="6791DA30" w:rsidRPr="7B474BA8">
        <w:rPr>
          <w:rFonts w:ascii="Calibri" w:eastAsia="Calibri" w:hAnsi="Calibri" w:cs="Calibri"/>
          <w:color w:val="000000" w:themeColor="text1"/>
        </w:rPr>
        <w:t>It is likely that</w:t>
      </w:r>
      <w:r w:rsidR="6AD07C49" w:rsidRPr="6AD07C49">
        <w:rPr>
          <w:rFonts w:ascii="Calibri" w:eastAsia="Calibri" w:hAnsi="Calibri" w:cs="Calibri"/>
          <w:color w:val="000000" w:themeColor="text1"/>
        </w:rPr>
        <w:t xml:space="preserve"> any daylight contributions would be limited by factors like desk orientation, partition height, deployment of the manual shading system, and obstructions from neighboring towers. </w:t>
      </w:r>
      <w:r w:rsidR="6791DA30" w:rsidRPr="7B474BA8">
        <w:rPr>
          <w:rFonts w:ascii="Calibri" w:eastAsia="Calibri" w:hAnsi="Calibri" w:cs="Calibri"/>
          <w:color w:val="000000" w:themeColor="text1"/>
        </w:rPr>
        <w:t xml:space="preserve">Additionally, </w:t>
      </w:r>
      <w:r w:rsidR="10380299" w:rsidRPr="7B474BA8">
        <w:rPr>
          <w:rFonts w:ascii="Calibri" w:eastAsia="Calibri" w:hAnsi="Calibri" w:cs="Calibri"/>
          <w:color w:val="000000" w:themeColor="text1"/>
        </w:rPr>
        <w:t>i</w:t>
      </w:r>
      <w:r w:rsidR="0B9A5722" w:rsidRPr="7B474BA8">
        <w:rPr>
          <w:rFonts w:ascii="Calibri" w:eastAsia="Calibri" w:hAnsi="Calibri" w:cs="Calibri"/>
          <w:color w:val="000000" w:themeColor="text1"/>
        </w:rPr>
        <w:t>t is not currently possible to conduct annual or climate-based spectral simulations of daylight</w:t>
      </w:r>
      <w:r w:rsidR="019FE045" w:rsidRPr="7B474BA8">
        <w:rPr>
          <w:rFonts w:ascii="Calibri" w:eastAsia="Calibri" w:hAnsi="Calibri" w:cs="Calibri"/>
          <w:color w:val="000000" w:themeColor="text1"/>
        </w:rPr>
        <w:t>.</w:t>
      </w:r>
      <w:r w:rsidR="0B9A5722" w:rsidRPr="7B474BA8">
        <w:rPr>
          <w:rFonts w:ascii="Calibri" w:eastAsia="Calibri" w:hAnsi="Calibri" w:cs="Calibri"/>
          <w:color w:val="000000" w:themeColor="text1"/>
        </w:rPr>
        <w:t xml:space="preserve"> </w:t>
      </w:r>
    </w:p>
    <w:p w14:paraId="17333A99" w14:textId="16864F93" w:rsidR="3EA53C93" w:rsidRDefault="0C3182BD" w:rsidP="0C3182BD">
      <w:pPr>
        <w:keepNext/>
      </w:pPr>
      <w:r>
        <w:t>For ALFA simulations of the open office spaces on the 23</w:t>
      </w:r>
      <w:r w:rsidRPr="0C3182BD">
        <w:rPr>
          <w:vertAlign w:val="superscript"/>
        </w:rPr>
        <w:t>rd</w:t>
      </w:r>
      <w:r>
        <w:t xml:space="preserve"> floor, 62 workstations were assigned one horizontal and one vertical calculation point. Horizontal calculation points were placed atop the desks, which were assumed to be 2.5 ft AFF. Vertical calculation points were placed 4 ft AFF, representing the field of view of a person sitting at each </w:t>
      </w:r>
      <w:r w:rsidR="006A1D2D">
        <w:t>workstation</w:t>
      </w:r>
      <w:r>
        <w:t xml:space="preserve"> facing towards the desk partition. An example of the placement of the horizontal and vertical calculation points are included in</w:t>
      </w:r>
      <w:r w:rsidR="00D933ED">
        <w:t xml:space="preserve"> </w:t>
      </w:r>
      <w:r w:rsidR="00D933ED" w:rsidRPr="00D933ED">
        <w:fldChar w:fldCharType="begin"/>
      </w:r>
      <w:r w:rsidR="00D933ED" w:rsidRPr="00D933ED">
        <w:instrText xml:space="preserve"> REF _Ref90706127 \h </w:instrText>
      </w:r>
      <w:r w:rsidR="00D933ED">
        <w:instrText xml:space="preserve"> \* MERGEFORMAT </w:instrText>
      </w:r>
      <w:r w:rsidR="00D933ED" w:rsidRPr="00D933ED">
        <w:fldChar w:fldCharType="separate"/>
      </w:r>
      <w:r w:rsidR="00D933ED" w:rsidRPr="00D933ED">
        <w:t>Figure 7</w:t>
      </w:r>
      <w:r w:rsidR="00D933ED" w:rsidRPr="00D933ED">
        <w:fldChar w:fldCharType="end"/>
      </w:r>
      <w:r w:rsidRPr="00D933ED">
        <w:t>.</w:t>
      </w:r>
      <w:r>
        <w:t xml:space="preserve"> Computer monitors were not included in any of the simulated conditions. Both AGi32 and ALFA were used to estimate average horizontal illuminance at each workstation and ALFA was</w:t>
      </w:r>
      <w:r w:rsidR="00D933ED">
        <w:t xml:space="preserve"> used </w:t>
      </w:r>
      <w:r>
        <w:t>to estimate vertical EML and CS. The results of these simulations are plotted in</w:t>
      </w:r>
      <w:r w:rsidRPr="00D933ED">
        <w:t xml:space="preserve"> </w:t>
      </w:r>
      <w:r w:rsidR="00D933ED" w:rsidRPr="00D933ED">
        <w:fldChar w:fldCharType="begin"/>
      </w:r>
      <w:r w:rsidR="00D933ED" w:rsidRPr="00D933ED">
        <w:instrText xml:space="preserve"> REF _Ref90706207 \h  \* MERGEFORMAT </w:instrText>
      </w:r>
      <w:r w:rsidR="00D933ED" w:rsidRPr="00D933ED">
        <w:fldChar w:fldCharType="separate"/>
      </w:r>
      <w:r w:rsidR="00D933ED" w:rsidRPr="00D933ED">
        <w:t>Figure 8</w:t>
      </w:r>
      <w:r w:rsidR="00D933ED" w:rsidRPr="00D933ED">
        <w:fldChar w:fldCharType="end"/>
      </w:r>
      <w:r w:rsidR="00D933ED" w:rsidRPr="00D933ED">
        <w:t xml:space="preserve"> </w:t>
      </w:r>
      <w:r w:rsidRPr="00D933ED">
        <w:t>and</w:t>
      </w:r>
      <w:r>
        <w:t xml:space="preserve"> reference lines are included to indicate which workstations are above the metric thresholds recommended by IES, WELL v2, and UL Design Guideline 24480.</w:t>
      </w:r>
    </w:p>
    <w:p w14:paraId="6C56E7C6" w14:textId="77777777" w:rsidR="00D933ED" w:rsidRDefault="00D933ED" w:rsidP="0C3182BD">
      <w:pPr>
        <w:keepNext/>
        <w:rPr>
          <w:rFonts w:ascii="Calibri" w:eastAsia="Calibri" w:hAnsi="Calibri" w:cs="Calibri"/>
          <w:color w:val="000000" w:themeColor="text1"/>
        </w:rPr>
      </w:pPr>
    </w:p>
    <w:p w14:paraId="1A82F920" w14:textId="414A64DE" w:rsidR="1B4CFE49" w:rsidRDefault="1B4CFE49" w:rsidP="1B4CFE49">
      <w:pPr>
        <w:pStyle w:val="ListParagraph"/>
        <w:keepNext/>
      </w:pPr>
      <w:r>
        <w:rPr>
          <w:noProof/>
        </w:rPr>
        <w:drawing>
          <wp:inline distT="0" distB="0" distL="0" distR="0" wp14:anchorId="4C4BE668" wp14:editId="4B70588C">
            <wp:extent cx="5127123" cy="1666315"/>
            <wp:effectExtent l="0" t="0" r="0" b="0"/>
            <wp:docPr id="1047454266" name="Picture 104745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27123" cy="1666315"/>
                    </a:xfrm>
                    <a:prstGeom prst="rect">
                      <a:avLst/>
                    </a:prstGeom>
                  </pic:spPr>
                </pic:pic>
              </a:graphicData>
            </a:graphic>
          </wp:inline>
        </w:drawing>
      </w:r>
    </w:p>
    <w:p w14:paraId="6AB0BB38" w14:textId="6FC0ED8A" w:rsidR="4D4A2748" w:rsidRPr="00D933ED" w:rsidRDefault="00D933ED" w:rsidP="00D933ED">
      <w:pPr>
        <w:pStyle w:val="Caption"/>
        <w:rPr>
          <w:color w:val="auto"/>
        </w:rPr>
      </w:pPr>
      <w:bookmarkStart w:id="18" w:name="_Ref90706127"/>
      <w:r w:rsidRPr="00D933ED">
        <w:rPr>
          <w:b/>
          <w:bCs/>
          <w:i w:val="0"/>
          <w:iCs w:val="0"/>
          <w:color w:val="auto"/>
        </w:rPr>
        <w:t xml:space="preserve">Figure </w:t>
      </w:r>
      <w:r w:rsidRPr="00D933ED">
        <w:rPr>
          <w:b/>
          <w:bCs/>
          <w:i w:val="0"/>
          <w:iCs w:val="0"/>
          <w:color w:val="auto"/>
        </w:rPr>
        <w:fldChar w:fldCharType="begin"/>
      </w:r>
      <w:r w:rsidRPr="00D933ED">
        <w:rPr>
          <w:b/>
          <w:bCs/>
          <w:i w:val="0"/>
          <w:iCs w:val="0"/>
          <w:color w:val="auto"/>
        </w:rPr>
        <w:instrText xml:space="preserve"> SEQ Figure \* ARABIC </w:instrText>
      </w:r>
      <w:r w:rsidRPr="00D933ED">
        <w:rPr>
          <w:b/>
          <w:bCs/>
          <w:i w:val="0"/>
          <w:iCs w:val="0"/>
          <w:color w:val="auto"/>
        </w:rPr>
        <w:fldChar w:fldCharType="separate"/>
      </w:r>
      <w:r w:rsidR="00A60E2D">
        <w:rPr>
          <w:b/>
          <w:bCs/>
          <w:i w:val="0"/>
          <w:iCs w:val="0"/>
          <w:noProof/>
          <w:color w:val="auto"/>
        </w:rPr>
        <w:t>7</w:t>
      </w:r>
      <w:r w:rsidRPr="00D933ED">
        <w:rPr>
          <w:b/>
          <w:bCs/>
          <w:i w:val="0"/>
          <w:iCs w:val="0"/>
          <w:color w:val="auto"/>
        </w:rPr>
        <w:fldChar w:fldCharType="end"/>
      </w:r>
      <w:bookmarkEnd w:id="18"/>
      <w:r w:rsidR="4D4A2748" w:rsidRPr="00D933ED">
        <w:rPr>
          <w:b/>
          <w:bCs/>
          <w:i w:val="0"/>
          <w:iCs w:val="0"/>
          <w:color w:val="auto"/>
        </w:rPr>
        <w:t>. Layout of horizontal and vertical calculation points used in ALFA simulations of the open office spaces</w:t>
      </w:r>
      <w:r w:rsidR="4D4A2748" w:rsidRPr="00D933ED">
        <w:rPr>
          <w:i w:val="0"/>
          <w:iCs w:val="0"/>
          <w:color w:val="auto"/>
        </w:rPr>
        <w:t>. One horizontal and one vertical calculation point was placed at workstation. Vertical calculation points were oriented toward the desk partition, representing the view of an occupant sitting at the workstation</w:t>
      </w:r>
      <w:r w:rsidR="4D4A2748" w:rsidRPr="00D933ED">
        <w:rPr>
          <w:b/>
          <w:bCs/>
          <w:color w:val="auto"/>
        </w:rPr>
        <w:t xml:space="preserve">. </w:t>
      </w:r>
    </w:p>
    <w:p w14:paraId="217FC2F2" w14:textId="51F3F570" w:rsidR="4D4A2748" w:rsidRDefault="4D4A2748" w:rsidP="00903814">
      <w:pPr>
        <w:keepNext/>
      </w:pPr>
    </w:p>
    <w:p w14:paraId="32387350" w14:textId="7AC7CD4E" w:rsidR="4D4A2748" w:rsidRDefault="41F1A094" w:rsidP="1E3904C6">
      <w:pPr>
        <w:keepNext/>
        <w:jc w:val="center"/>
      </w:pPr>
      <w:r>
        <w:t xml:space="preserve">   </w:t>
      </w:r>
    </w:p>
    <w:p w14:paraId="5B9014DD" w14:textId="0DF9128C" w:rsidR="37FD8B49" w:rsidRDefault="15CF8316" w:rsidP="7B474BA8">
      <w:pPr>
        <w:jc w:val="center"/>
      </w:pPr>
      <w:r>
        <w:rPr>
          <w:noProof/>
        </w:rPr>
        <w:drawing>
          <wp:inline distT="0" distB="0" distL="0" distR="0" wp14:anchorId="6CF074A7" wp14:editId="12DC1D7B">
            <wp:extent cx="5726478" cy="5404364"/>
            <wp:effectExtent l="0" t="0" r="7620" b="6350"/>
            <wp:docPr id="1113118881" name="Picture 111311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35701" cy="5413068"/>
                    </a:xfrm>
                    <a:prstGeom prst="rect">
                      <a:avLst/>
                    </a:prstGeom>
                  </pic:spPr>
                </pic:pic>
              </a:graphicData>
            </a:graphic>
          </wp:inline>
        </w:drawing>
      </w:r>
    </w:p>
    <w:p w14:paraId="216446E6" w14:textId="4D259CEE" w:rsidR="4D4A2748" w:rsidRPr="00D933ED" w:rsidRDefault="00D933ED" w:rsidP="00D933ED">
      <w:pPr>
        <w:pStyle w:val="Caption"/>
        <w:rPr>
          <w:i w:val="0"/>
          <w:iCs w:val="0"/>
          <w:color w:val="auto"/>
        </w:rPr>
      </w:pPr>
      <w:bookmarkStart w:id="19" w:name="_Ref90706207"/>
      <w:r w:rsidRPr="00D933ED">
        <w:rPr>
          <w:b/>
          <w:bCs/>
          <w:i w:val="0"/>
          <w:iCs w:val="0"/>
          <w:color w:val="auto"/>
        </w:rPr>
        <w:t xml:space="preserve">Figure </w:t>
      </w:r>
      <w:r w:rsidRPr="00D933ED">
        <w:rPr>
          <w:b/>
          <w:bCs/>
          <w:i w:val="0"/>
          <w:iCs w:val="0"/>
          <w:color w:val="auto"/>
        </w:rPr>
        <w:fldChar w:fldCharType="begin"/>
      </w:r>
      <w:r w:rsidRPr="00D933ED">
        <w:rPr>
          <w:b/>
          <w:bCs/>
          <w:i w:val="0"/>
          <w:iCs w:val="0"/>
          <w:color w:val="auto"/>
        </w:rPr>
        <w:instrText xml:space="preserve"> SEQ Figure \* ARABIC </w:instrText>
      </w:r>
      <w:r w:rsidRPr="00D933ED">
        <w:rPr>
          <w:b/>
          <w:bCs/>
          <w:i w:val="0"/>
          <w:iCs w:val="0"/>
          <w:color w:val="auto"/>
        </w:rPr>
        <w:fldChar w:fldCharType="separate"/>
      </w:r>
      <w:r w:rsidR="00A60E2D">
        <w:rPr>
          <w:b/>
          <w:bCs/>
          <w:i w:val="0"/>
          <w:iCs w:val="0"/>
          <w:noProof/>
          <w:color w:val="auto"/>
        </w:rPr>
        <w:t>8</w:t>
      </w:r>
      <w:r w:rsidRPr="00D933ED">
        <w:rPr>
          <w:b/>
          <w:bCs/>
          <w:i w:val="0"/>
          <w:iCs w:val="0"/>
          <w:color w:val="auto"/>
        </w:rPr>
        <w:fldChar w:fldCharType="end"/>
      </w:r>
      <w:bookmarkEnd w:id="19"/>
      <w:r w:rsidR="068C2DDB" w:rsidRPr="00D933ED">
        <w:rPr>
          <w:b/>
          <w:bCs/>
          <w:i w:val="0"/>
          <w:iCs w:val="0"/>
          <w:color w:val="auto"/>
        </w:rPr>
        <w:t xml:space="preserve">. AGi32 and ALFA simulation predicted horizontal illuminance, vertical EML, and vertical CS for </w:t>
      </w:r>
      <w:r w:rsidR="42CBDE1A" w:rsidRPr="00D933ED">
        <w:rPr>
          <w:b/>
          <w:bCs/>
          <w:i w:val="0"/>
          <w:iCs w:val="0"/>
          <w:color w:val="auto"/>
        </w:rPr>
        <w:t>62</w:t>
      </w:r>
      <w:r w:rsidR="068C2DDB" w:rsidRPr="00D933ED">
        <w:rPr>
          <w:b/>
          <w:bCs/>
          <w:i w:val="0"/>
          <w:iCs w:val="0"/>
          <w:color w:val="auto"/>
        </w:rPr>
        <w:t xml:space="preserve"> </w:t>
      </w:r>
      <w:r w:rsidR="478ABB95" w:rsidRPr="00D933ED">
        <w:rPr>
          <w:b/>
          <w:bCs/>
          <w:i w:val="0"/>
          <w:iCs w:val="0"/>
          <w:color w:val="auto"/>
        </w:rPr>
        <w:t>workstation</w:t>
      </w:r>
      <w:r w:rsidR="756856E5" w:rsidRPr="00D933ED">
        <w:rPr>
          <w:b/>
          <w:bCs/>
          <w:i w:val="0"/>
          <w:iCs w:val="0"/>
          <w:color w:val="auto"/>
        </w:rPr>
        <w:t>s</w:t>
      </w:r>
      <w:r w:rsidR="068C2DDB" w:rsidRPr="00D933ED">
        <w:rPr>
          <w:b/>
          <w:bCs/>
          <w:i w:val="0"/>
          <w:iCs w:val="0"/>
          <w:color w:val="auto"/>
        </w:rPr>
        <w:t xml:space="preserve"> in the open office spaces.</w:t>
      </w:r>
      <w:r w:rsidR="068C2DDB" w:rsidRPr="00D933ED">
        <w:rPr>
          <w:i w:val="0"/>
          <w:iCs w:val="0"/>
          <w:color w:val="auto"/>
        </w:rPr>
        <w:t xml:space="preserve"> Each datapoint represents an individual workstation</w:t>
      </w:r>
      <w:r w:rsidR="702B5BDA" w:rsidRPr="00D933ED">
        <w:rPr>
          <w:i w:val="0"/>
          <w:iCs w:val="0"/>
          <w:color w:val="auto"/>
        </w:rPr>
        <w:t xml:space="preserve"> from</w:t>
      </w:r>
      <w:r w:rsidR="068C2DDB" w:rsidRPr="00D933ED">
        <w:rPr>
          <w:i w:val="0"/>
          <w:iCs w:val="0"/>
          <w:color w:val="auto"/>
        </w:rPr>
        <w:t xml:space="preserve"> the 23</w:t>
      </w:r>
      <w:r w:rsidR="068C2DDB" w:rsidRPr="00D933ED">
        <w:rPr>
          <w:i w:val="0"/>
          <w:iCs w:val="0"/>
          <w:color w:val="auto"/>
          <w:vertAlign w:val="superscript"/>
        </w:rPr>
        <w:t>rd</w:t>
      </w:r>
      <w:r w:rsidR="068C2DDB" w:rsidRPr="00D933ED">
        <w:rPr>
          <w:i w:val="0"/>
          <w:iCs w:val="0"/>
          <w:color w:val="auto"/>
        </w:rPr>
        <w:t xml:space="preserve"> floor open office spaces. Reference lines are included to compare the simulation results against the relevant IES, WELL, and UL recommended thresholds for each metric.</w:t>
      </w:r>
    </w:p>
    <w:p w14:paraId="692E0035" w14:textId="14A8E32E" w:rsidR="00384139" w:rsidRDefault="3EA53C93" w:rsidP="70DF0CC9">
      <w:pPr>
        <w:keepNext/>
      </w:pPr>
      <w:r w:rsidRPr="3EA53C93">
        <w:rPr>
          <w:rFonts w:ascii="Calibri" w:eastAsia="Calibri" w:hAnsi="Calibri" w:cs="Calibri"/>
        </w:rPr>
        <w:t xml:space="preserve">The estimated average horizontal illuminance for all workstations was </w:t>
      </w:r>
      <w:r w:rsidR="05F24E66" w:rsidRPr="70DF0CC9">
        <w:rPr>
          <w:rFonts w:ascii="Calibri" w:eastAsia="Calibri" w:hAnsi="Calibri" w:cs="Calibri"/>
        </w:rPr>
        <w:t>between 1000 and 1100 lx for both the AGi32 and ALFA simulations, with</w:t>
      </w:r>
      <w:r w:rsidR="52FC6A92" w:rsidRPr="70DF0CC9">
        <w:rPr>
          <w:rFonts w:ascii="Calibri" w:eastAsia="Calibri" w:hAnsi="Calibri" w:cs="Calibri"/>
        </w:rPr>
        <w:t xml:space="preserve"> </w:t>
      </w:r>
      <w:r w:rsidR="690AB8AE" w:rsidRPr="0DC2B644">
        <w:rPr>
          <w:rFonts w:ascii="Calibri" w:eastAsia="Calibri" w:hAnsi="Calibri" w:cs="Calibri"/>
        </w:rPr>
        <w:t>general agreement between the two simulation software tools. The</w:t>
      </w:r>
      <w:r w:rsidR="52FC6A92" w:rsidRPr="70DF0CC9">
        <w:rPr>
          <w:rFonts w:ascii="Calibri" w:eastAsia="Calibri" w:hAnsi="Calibri" w:cs="Calibri"/>
        </w:rPr>
        <w:t xml:space="preserve"> small differences observed between </w:t>
      </w:r>
      <w:r w:rsidR="690AB8AE" w:rsidRPr="0DC2B644">
        <w:rPr>
          <w:rFonts w:ascii="Calibri" w:eastAsia="Calibri" w:hAnsi="Calibri" w:cs="Calibri"/>
        </w:rPr>
        <w:t xml:space="preserve">the AGi32 and ALFA results may be due to the calculation methods (radiosity and raytracing respectively) used to simulate the propagation of light throughout the built environment. </w:t>
      </w:r>
      <w:r w:rsidR="330FD5A6" w:rsidRPr="70DF0CC9">
        <w:rPr>
          <w:rFonts w:ascii="Calibri" w:eastAsia="Calibri" w:hAnsi="Calibri" w:cs="Calibri"/>
        </w:rPr>
        <w:t>Changing the CCT conditions of the luminaires in the ALFA simulations did not have any notable influence on estimated horizontal illuminance, although the small differences (3% between conditions) can likely be attributed to the differences in S</w:t>
      </w:r>
      <w:r w:rsidR="031DDCF5" w:rsidRPr="70DF0CC9">
        <w:rPr>
          <w:rFonts w:ascii="Calibri" w:eastAsia="Calibri" w:hAnsi="Calibri" w:cs="Calibri"/>
        </w:rPr>
        <w:t>PD within the bounds of the photopic sensitivity function</w:t>
      </w:r>
      <w:r w:rsidR="690AB8AE" w:rsidRPr="0DC2B644">
        <w:rPr>
          <w:rFonts w:ascii="Calibri" w:eastAsia="Calibri" w:hAnsi="Calibri" w:cs="Calibri"/>
        </w:rPr>
        <w:t xml:space="preserve">. Average EML was estimated to be between 172 and 396 m-lux with EML values increasing as the CCT value of the lighting condition increased. A different pattern occurs when estimating CS; average CS varies between 0.25 and 0.43 with the 4000 K condition resulting in the lowest CS values. </w:t>
      </w:r>
    </w:p>
    <w:p w14:paraId="6989C2C1" w14:textId="14A8E32E" w:rsidR="0232866D" w:rsidRDefault="0232866D" w:rsidP="40E17F7A">
      <w:pPr>
        <w:spacing w:line="257" w:lineRule="auto"/>
        <w:rPr>
          <w:rFonts w:ascii="Calibri" w:eastAsia="Calibri" w:hAnsi="Calibri" w:cs="Calibri"/>
        </w:rPr>
      </w:pPr>
      <w:r w:rsidRPr="5D9D7C9E">
        <w:rPr>
          <w:rFonts w:ascii="Calibri" w:eastAsia="Calibri" w:hAnsi="Calibri" w:cs="Calibri"/>
        </w:rPr>
        <w:t xml:space="preserve">While this report will primarily focus on ALFA estimates of vertical illuminance, EML, and CS, it is valuable to compare how different simulation/calculation methods may impact these metrics. As detailed previously in this section, vertical calculation girds were used in AGi32 to the simulate the four CCT conditions during design development. Despite similar estimates of horizontal illuminance between AGi32 and ALFA, there are notable differences between estimates of vertical illuminance. Determining the source of these differences is outside the scope of this project but it is important to acknowledge how other metrics like EML or CS might also be affected. </w:t>
      </w:r>
    </w:p>
    <w:p w14:paraId="007149E2" w14:textId="64CFC864" w:rsidR="0232866D" w:rsidRDefault="000D4699" w:rsidP="40E17F7A">
      <w:pPr>
        <w:spacing w:line="257" w:lineRule="auto"/>
      </w:pPr>
      <w:r w:rsidRPr="000D4699">
        <w:fldChar w:fldCharType="begin"/>
      </w:r>
      <w:r w:rsidRPr="000D4699">
        <w:instrText xml:space="preserve"> REF _Ref90706356 \h </w:instrText>
      </w:r>
      <w:r>
        <w:instrText xml:space="preserve"> \* MERGEFORMAT </w:instrText>
      </w:r>
      <w:r w:rsidRPr="000D4699">
        <w:fldChar w:fldCharType="separate"/>
      </w:r>
      <w:r w:rsidRPr="000D4699">
        <w:t>Figure 9</w:t>
      </w:r>
      <w:r w:rsidRPr="000D4699">
        <w:fldChar w:fldCharType="end"/>
      </w:r>
      <w:r w:rsidRPr="000D4699">
        <w:t xml:space="preserve"> </w:t>
      </w:r>
      <w:r w:rsidR="0232866D" w:rsidRPr="000D4699">
        <w:t>shows a small subset of workstations in the southwest corner of the open office space, comparing AGi32 and ALFA simulation results for vertical viewing positions under the 4000 K lighting condition. AGi32</w:t>
      </w:r>
      <w:r w:rsidR="0232866D" w:rsidRPr="5D9D7C9E">
        <w:rPr>
          <w:rFonts w:ascii="Calibri" w:eastAsia="Calibri" w:hAnsi="Calibri" w:cs="Calibri"/>
        </w:rPr>
        <w:t xml:space="preserve"> estimates of vertical illuminance range from 533 to 597 lx while ALFA estimates are generally less, ranging from 391 to 442 lx (note, these estimates are 2.5-4 times greater than what is recommended by IES). Without spectral simulation tools, it is possible to estimate EML at the eye of a potential occupant by multiplying vertical illuminance by the M/P ratio of the light source or by inputting the M/P ratio as an additional loss factor in AGi32. Similarly, CS can be estimated by inputting the vertical illuminance at the eye and full SPD of the light source using the calculation procedure outlined by </w:t>
      </w:r>
      <w:r w:rsidR="693DE2B6">
        <w:t>UL Design Guideline 24480.</w:t>
      </w:r>
    </w:p>
    <w:p w14:paraId="5AD95DA6" w14:textId="77777777" w:rsidR="00D933ED" w:rsidRDefault="00D933ED" w:rsidP="00D933ED">
      <w:pPr>
        <w:spacing w:line="257" w:lineRule="auto"/>
        <w:jc w:val="center"/>
        <w:rPr>
          <w:rFonts w:ascii="Calibri" w:eastAsia="Calibri" w:hAnsi="Calibri" w:cs="Calibri"/>
        </w:rPr>
      </w:pPr>
      <w:r>
        <w:rPr>
          <w:noProof/>
        </w:rPr>
        <w:drawing>
          <wp:inline distT="0" distB="0" distL="0" distR="0" wp14:anchorId="4314CFD8" wp14:editId="7B1B531F">
            <wp:extent cx="5120640" cy="3413760"/>
            <wp:effectExtent l="0" t="0" r="3810" b="0"/>
            <wp:docPr id="686608606" name="Picture 68660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6086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1894" cy="3414596"/>
                    </a:xfrm>
                    <a:prstGeom prst="rect">
                      <a:avLst/>
                    </a:prstGeom>
                  </pic:spPr>
                </pic:pic>
              </a:graphicData>
            </a:graphic>
          </wp:inline>
        </w:drawing>
      </w:r>
    </w:p>
    <w:p w14:paraId="13B67CAB" w14:textId="583CCC24" w:rsidR="00D933ED" w:rsidRDefault="00D933ED" w:rsidP="00B70CBB">
      <w:pPr>
        <w:pStyle w:val="Caption"/>
        <w:rPr>
          <w:rFonts w:ascii="Calibri" w:eastAsia="Calibri" w:hAnsi="Calibri" w:cs="Calibri"/>
          <w:color w:val="000000" w:themeColor="text1"/>
        </w:rPr>
      </w:pPr>
      <w:bookmarkStart w:id="20" w:name="_Ref90706356"/>
      <w:r w:rsidRPr="00D933ED">
        <w:rPr>
          <w:b/>
          <w:bCs/>
          <w:i w:val="0"/>
          <w:iCs w:val="0"/>
          <w:color w:val="auto"/>
        </w:rPr>
        <w:t xml:space="preserve">Figure </w:t>
      </w:r>
      <w:r w:rsidRPr="00D933ED">
        <w:rPr>
          <w:b/>
          <w:bCs/>
          <w:i w:val="0"/>
          <w:iCs w:val="0"/>
          <w:color w:val="auto"/>
        </w:rPr>
        <w:fldChar w:fldCharType="begin"/>
      </w:r>
      <w:r w:rsidRPr="00D933ED">
        <w:rPr>
          <w:b/>
          <w:bCs/>
          <w:i w:val="0"/>
          <w:iCs w:val="0"/>
          <w:color w:val="auto"/>
        </w:rPr>
        <w:instrText xml:space="preserve"> SEQ Figure \* ARABIC </w:instrText>
      </w:r>
      <w:r w:rsidRPr="00D933ED">
        <w:rPr>
          <w:b/>
          <w:bCs/>
          <w:i w:val="0"/>
          <w:iCs w:val="0"/>
          <w:color w:val="auto"/>
        </w:rPr>
        <w:fldChar w:fldCharType="separate"/>
      </w:r>
      <w:r w:rsidR="00A60E2D">
        <w:rPr>
          <w:b/>
          <w:bCs/>
          <w:i w:val="0"/>
          <w:iCs w:val="0"/>
          <w:noProof/>
          <w:color w:val="auto"/>
        </w:rPr>
        <w:t>9</w:t>
      </w:r>
      <w:r w:rsidRPr="00D933ED">
        <w:rPr>
          <w:b/>
          <w:bCs/>
          <w:i w:val="0"/>
          <w:iCs w:val="0"/>
          <w:color w:val="auto"/>
        </w:rPr>
        <w:fldChar w:fldCharType="end"/>
      </w:r>
      <w:bookmarkEnd w:id="20"/>
      <w:r w:rsidRPr="00D933ED">
        <w:rPr>
          <w:b/>
          <w:bCs/>
          <w:i w:val="0"/>
          <w:iCs w:val="0"/>
          <w:color w:val="auto"/>
        </w:rPr>
        <w:t xml:space="preserve">. Comparison of results using AGi32 and ALFA to simulate six workstations for the 4000 K lighting condition. </w:t>
      </w:r>
      <w:r w:rsidR="002C61F7">
        <w:rPr>
          <w:i w:val="0"/>
          <w:iCs w:val="0"/>
          <w:color w:val="auto"/>
        </w:rPr>
        <w:t>AGi32 was used to estimate vertical illuminance at six workstations which was then used to estimate EML and CS using the calculation methods provided by WELL and UL</w:t>
      </w:r>
      <w:r w:rsidR="00B70CBB">
        <w:rPr>
          <w:i w:val="0"/>
          <w:iCs w:val="0"/>
          <w:color w:val="auto"/>
        </w:rPr>
        <w:t xml:space="preserve"> Design Guideline 24480</w:t>
      </w:r>
      <w:r w:rsidR="002C61F7">
        <w:rPr>
          <w:i w:val="0"/>
          <w:iCs w:val="0"/>
          <w:color w:val="auto"/>
        </w:rPr>
        <w:t>. ALFA was used to estimate vertical illuminance and EML at the same workstations. ALFA predictions of SPD at the eye were used to estimate CS using the method provided by UL</w:t>
      </w:r>
      <w:r w:rsidR="00B70CBB">
        <w:rPr>
          <w:i w:val="0"/>
          <w:iCs w:val="0"/>
          <w:color w:val="auto"/>
        </w:rPr>
        <w:t xml:space="preserve"> Design Guideline 24480</w:t>
      </w:r>
      <w:r w:rsidR="002C61F7">
        <w:rPr>
          <w:i w:val="0"/>
          <w:iCs w:val="0"/>
          <w:color w:val="auto"/>
        </w:rPr>
        <w:t xml:space="preserve">. </w:t>
      </w:r>
    </w:p>
    <w:p w14:paraId="18E7FE60" w14:textId="14A8E32E" w:rsidR="0232866D" w:rsidRDefault="0232866D" w:rsidP="40E17F7A">
      <w:pPr>
        <w:spacing w:line="257" w:lineRule="auto"/>
        <w:rPr>
          <w:rFonts w:ascii="Calibri" w:eastAsia="Calibri" w:hAnsi="Calibri" w:cs="Calibri"/>
        </w:rPr>
      </w:pPr>
      <w:r w:rsidRPr="5D9D7C9E">
        <w:rPr>
          <w:rFonts w:ascii="Calibri" w:eastAsia="Calibri" w:hAnsi="Calibri" w:cs="Calibri"/>
        </w:rPr>
        <w:t xml:space="preserve">The differences in vertical illuminance resulting from the AGi32 and ALFA simulations can also be observed in estimates of EML; AGi32 provides higher estimates of EML than ALFA. AGi32 estimates of EML at the six workstations for the 4000 K lighting condition are well above the WELL recommended thresholds of 150 m-lux and 240 m-lux. When simulated in ALFA, all of the workstations remain above 225 m-lux however, two workstations no longer meet the higher EML threshold. AGi32 estimates of CS also meet existing recommendations as all workstations are 0.35 CS or greater. The ALFA simulation results in much different values for CS with four of the six workstations falling below the 0.3 recommended threshold and as low as 0.22 CS. </w:t>
      </w:r>
    </w:p>
    <w:p w14:paraId="47BC9CE1" w14:textId="1D918895" w:rsidR="0232866D" w:rsidRDefault="0232866D" w:rsidP="000D4699">
      <w:r w:rsidRPr="5D9D7C9E">
        <w:t xml:space="preserve">Some of these </w:t>
      </w:r>
      <w:r w:rsidRPr="000D4699">
        <w:t>differences can be explained by comparing the M/P value predicted for each viewing position (also included in</w:t>
      </w:r>
      <w:r w:rsidR="000D4699" w:rsidRPr="000D4699">
        <w:t xml:space="preserve"> </w:t>
      </w:r>
      <w:r w:rsidR="000D4699" w:rsidRPr="000D4699">
        <w:fldChar w:fldCharType="begin"/>
      </w:r>
      <w:r w:rsidR="000D4699" w:rsidRPr="000D4699">
        <w:instrText xml:space="preserve"> REF _Ref90706356 \h  \* MERGEFORMAT </w:instrText>
      </w:r>
      <w:r w:rsidR="000D4699" w:rsidRPr="000D4699">
        <w:fldChar w:fldCharType="separate"/>
      </w:r>
      <w:r w:rsidR="000D4699" w:rsidRPr="000D4699">
        <w:t>Figure 9</w:t>
      </w:r>
      <w:r w:rsidR="000D4699" w:rsidRPr="000D4699">
        <w:fldChar w:fldCharType="end"/>
      </w:r>
      <w:r w:rsidRPr="000D4699">
        <w:t>).</w:t>
      </w:r>
      <w:r w:rsidRPr="5D9D7C9E">
        <w:t xml:space="preserve"> AGi32 estimates </w:t>
      </w:r>
      <w:r w:rsidR="313D129B" w:rsidRPr="1F6779EF">
        <w:t>of</w:t>
      </w:r>
      <w:r w:rsidRPr="5D9D7C9E">
        <w:t xml:space="preserve"> M/P match the light source (0.69</w:t>
      </w:r>
      <w:r w:rsidRPr="1F6779EF">
        <w:t>)</w:t>
      </w:r>
      <w:r w:rsidR="2666335F" w:rsidRPr="1F6779EF">
        <w:t xml:space="preserve"> and </w:t>
      </w:r>
      <w:r w:rsidRPr="5D9D7C9E">
        <w:t>does not account for any shifts in the spectrum of light as it moves from the luminaires throughout the built environment. The M/P values resulting from ALFA display this shift, with values</w:t>
      </w:r>
      <w:r w:rsidR="000D4699">
        <w:t xml:space="preserve"> that are</w:t>
      </w:r>
      <w:r w:rsidR="2AC76F4D" w:rsidRPr="1F6779EF">
        <w:t xml:space="preserve"> less than the light source, </w:t>
      </w:r>
      <w:r w:rsidRPr="5D9D7C9E">
        <w:t xml:space="preserve">ranging from 0.58 to 0.62. </w:t>
      </w:r>
      <w:r w:rsidR="1227D29B" w:rsidRPr="6706595C">
        <w:t xml:space="preserve"> Understanding the spectrum of light</w:t>
      </w:r>
      <w:r w:rsidR="27576568" w:rsidRPr="79AA1741">
        <w:t xml:space="preserve"> at the occupant viewing </w:t>
      </w:r>
      <w:r w:rsidR="3FE22A56" w:rsidRPr="6706595C">
        <w:t>location</w:t>
      </w:r>
      <w:r w:rsidR="27576568" w:rsidRPr="79AA1741">
        <w:t xml:space="preserve"> is </w:t>
      </w:r>
      <w:r w:rsidR="27576568" w:rsidRPr="07187C75">
        <w:t>particularly important for calculating CS as</w:t>
      </w:r>
      <w:r w:rsidR="578FDBA9" w:rsidRPr="07187C75">
        <w:t xml:space="preserve"> </w:t>
      </w:r>
      <w:r w:rsidR="064EB00C" w:rsidRPr="07187C75">
        <w:t xml:space="preserve">is </w:t>
      </w:r>
      <w:r w:rsidR="6D22D6F8" w:rsidRPr="6797D9B6">
        <w:t xml:space="preserve">particularly sensitive to </w:t>
      </w:r>
      <w:r w:rsidR="6D7247A8" w:rsidRPr="387F0F83">
        <w:t>small</w:t>
      </w:r>
      <w:r w:rsidR="4FEEB049" w:rsidRPr="6797D9B6">
        <w:t xml:space="preserve"> </w:t>
      </w:r>
      <w:r w:rsidR="6D7247A8" w:rsidRPr="4BA76665">
        <w:t>changes in</w:t>
      </w:r>
      <w:r w:rsidR="4FEEB049" w:rsidRPr="4BA76665">
        <w:t xml:space="preserve"> </w:t>
      </w:r>
      <w:r w:rsidR="3EEA66FC" w:rsidRPr="4BA76665">
        <w:t>SPD</w:t>
      </w:r>
      <w:r w:rsidR="00165394">
        <w:t>s</w:t>
      </w:r>
      <w:r w:rsidR="4F4C7E16" w:rsidRPr="4BA76665">
        <w:t xml:space="preserve"> </w:t>
      </w:r>
      <w:r w:rsidR="4F4C7E16" w:rsidRPr="65CDDCE3">
        <w:t>around</w:t>
      </w:r>
      <w:r w:rsidR="4F4C7E16" w:rsidRPr="0D9FF4CF">
        <w:t xml:space="preserve"> 3500 K</w:t>
      </w:r>
      <w:r w:rsidR="3EEA66FC" w:rsidRPr="0D9FF4CF">
        <w:t>.</w:t>
      </w:r>
    </w:p>
    <w:p w14:paraId="55A66E20" w14:textId="57A09B35" w:rsidR="00384139" w:rsidRDefault="690AB8AE" w:rsidP="000D4699">
      <w:r w:rsidRPr="0DC2B644">
        <w:t>The location of the workstations within the open office space influenced the resulting horizontal illuminance, with large variations observed between workstations for individual simulation conditions. In AGi32, the horizontal illuminance values estimated for the task plane ranged from 822 lx to 1382 lx depending on the location of the workstation. ALFA had a larger range in results estimated for same workstations; the 4000 K condition resulted in horizontal illuminance ranging from 706 lx to 1356 lx. This variation between workstations is also observed for the EML and CS values, which were also impacted by the orientation of the vertical calculation points. This is particularly evident for 3 workstations located in the southeast corner of the 23</w:t>
      </w:r>
      <w:r w:rsidRPr="0DC2B644">
        <w:rPr>
          <w:vertAlign w:val="superscript"/>
        </w:rPr>
        <w:t>rd</w:t>
      </w:r>
      <w:r w:rsidRPr="0DC2B644">
        <w:t xml:space="preserve"> floor, oriented such that the occupant would be facing the window. These positions did not receive much reflected light from the electric lighting system given most of it was transmitted through the glazing material. As a result, EML and CS values at these workstations were notably less for all simulated conditions compared to other workstations throughout the open office, making it difficult to meet the circadian lighting metric recommendations. </w:t>
      </w:r>
    </w:p>
    <w:p w14:paraId="1B62A89D" w14:textId="0C2F28F6" w:rsidR="00384139" w:rsidRDefault="690AB8AE" w:rsidP="70DF0CC9">
      <w:pPr>
        <w:keepNext/>
      </w:pPr>
      <w:r w:rsidRPr="0DC2B644">
        <w:rPr>
          <w:rFonts w:ascii="Calibri" w:eastAsia="Calibri" w:hAnsi="Calibri" w:cs="Calibri"/>
        </w:rPr>
        <w:t xml:space="preserve">For all simulated conditions, average horizontal illuminance in the open office space was estimated to be more than three times greater than what the IES recommends for visual tasks (300 lx). At several workstations, the estimated horizontal illuminance was nearly 1400 lx, which is almost </w:t>
      </w:r>
      <w:r w:rsidR="00720948">
        <w:rPr>
          <w:rFonts w:ascii="Calibri" w:eastAsia="Calibri" w:hAnsi="Calibri" w:cs="Calibri"/>
        </w:rPr>
        <w:t>five</w:t>
      </w:r>
      <w:r w:rsidRPr="0DC2B644">
        <w:rPr>
          <w:rFonts w:ascii="Calibri" w:eastAsia="Calibri" w:hAnsi="Calibri" w:cs="Calibri"/>
        </w:rPr>
        <w:t xml:space="preserve"> times the IES recommended value. Despite high light levels, none of the CCT conditions considered for the open office space were able to meet the 150 or 240 m-lux EML thresholds recommended by the WELL v2 2019 Q2 Circadian Lighting Design feature at all workstations. Similarly, there are no simulated conditions would meet 0.3 CS at all workstations, as is recommended by UL Design Guideline 24480. </w:t>
      </w:r>
    </w:p>
    <w:p w14:paraId="095E7DA1" w14:textId="6330F7DC" w:rsidR="00384139" w:rsidRDefault="690AB8AE" w:rsidP="70DF0CC9">
      <w:pPr>
        <w:keepNext/>
        <w:rPr>
          <w:rFonts w:ascii="Calibri" w:eastAsia="Calibri" w:hAnsi="Calibri" w:cs="Calibri"/>
        </w:rPr>
      </w:pPr>
      <w:r w:rsidRPr="5BD5AE1A">
        <w:rPr>
          <w:rFonts w:ascii="Calibri" w:eastAsia="Calibri" w:hAnsi="Calibri" w:cs="Calibri"/>
        </w:rPr>
        <w:t>If the same comparison was done, excluding the three workstations in the southeast corner of the open office space, the 3500 K, 4000 K, and 5000 K conditions would meet 150 m-lux at all workstations but would still fail to meet 240 m-lux at six or more workstations. Of these lighting conditions, 3500 K is the only condition that would also meet 0.3 CS. As discussed in Section XX, the 3-point EML threshold has been updated to 275 m-lux since the conclusion of the Circadian Lighting Pilot Project. Even excluding the three workstations in the southeast corner, 18 or more workstations would fail to meet this higher EML threshold</w:t>
      </w:r>
      <w:r w:rsidR="031DDCF5" w:rsidRPr="70DF0CC9">
        <w:rPr>
          <w:rFonts w:ascii="Calibri" w:eastAsia="Calibri" w:hAnsi="Calibri" w:cs="Calibri"/>
        </w:rPr>
        <w:t xml:space="preserve">. </w:t>
      </w:r>
    </w:p>
    <w:p w14:paraId="4E4AE025" w14:textId="53DF7779" w:rsidR="35CBAA75" w:rsidRDefault="50D7380F">
      <w:r w:rsidRPr="50D7380F">
        <w:rPr>
          <w:rFonts w:ascii="Calibri" w:eastAsia="Calibri" w:hAnsi="Calibri" w:cs="Calibri"/>
        </w:rPr>
        <w:t>The original design for the Circadian Lighting Pilot Project was completed before the new EML threshold was established but ALFA spectral simulations can help to identify the workstations that need further optimization to meet circadian lighting metrics. It is also worth noting that the results presented in this section are based on the environmental factors and initial light levels instead of maintained levels over time. It is expected that measured results would initially deviate from the simulations. With no ability to control cleanliness of workstations, occupant viewing height/direction, and daylight intensity and spectral exposure, results should conservatively meet circadian lighting metrics to allow for further tuning to the actual environment.</w:t>
      </w:r>
    </w:p>
    <w:p w14:paraId="4C9AF73B" w14:textId="71F43219" w:rsidR="00F95E79" w:rsidRDefault="25D4715D" w:rsidP="00A60E2D">
      <w:pPr>
        <w:pStyle w:val="Heading3"/>
        <w:rPr>
          <w:rFonts w:ascii="Calibri Light" w:hAnsi="Calibri Light"/>
        </w:rPr>
      </w:pPr>
      <w:r w:rsidRPr="25D4715D">
        <w:rPr>
          <w:rStyle w:val="Heading3Char"/>
        </w:rPr>
        <w:t>Private Office Simulations – Comparison of Occupant View Direction</w:t>
      </w:r>
    </w:p>
    <w:p w14:paraId="2ED45EAC" w14:textId="78ACA0D1" w:rsidR="00A60E2D" w:rsidRDefault="00A60E2D" w:rsidP="00A60E2D">
      <w:r w:rsidRPr="00A60E2D">
        <w:t xml:space="preserve">Although most private offices had similar furnishings, use of each individual office space varied amongst the employees. To investigate the outcomes associated with view direction, surface reflectance, and influence of task lighting, six private offices were created varying the occupant’s primary view direction (i.e., facing the interior of the room, window (excluding daylight), white interior wall, or dark wood bookcase). In addition, three of the six rooms assume a bookcase or storage cabinet is attached to the desk, while the other three have a free-standing bookcase. The three offices with an attached bookcase include an additional surface mounted undercabinet task light. The architectural lighting is the same across all six offices, consisting of a recessed linear luminaire in the center of the room and two wall mounted indirect luminaires mounted one foot below the ceiling with an asymmetric distribution spreading light across the ceiling and work surface. A summary of simulation conditions is shown in </w:t>
      </w:r>
      <w:r w:rsidRPr="00A60E2D">
        <w:fldChar w:fldCharType="begin"/>
      </w:r>
      <w:r w:rsidRPr="00A60E2D">
        <w:instrText xml:space="preserve"> REF _Ref91069606 \h </w:instrText>
      </w:r>
      <w:r>
        <w:instrText xml:space="preserve"> \* MERGEFORMAT </w:instrText>
      </w:r>
      <w:r w:rsidRPr="00A60E2D">
        <w:fldChar w:fldCharType="separate"/>
      </w:r>
      <w:r w:rsidRPr="00A60E2D">
        <w:t>Figure 10</w:t>
      </w:r>
      <w:r w:rsidRPr="00A60E2D">
        <w:fldChar w:fldCharType="end"/>
      </w:r>
      <w:r w:rsidRPr="00A60E2D">
        <w:t>.</w:t>
      </w:r>
    </w:p>
    <w:p w14:paraId="489914EF" w14:textId="77777777" w:rsidR="00A60E2D" w:rsidRPr="00A60E2D" w:rsidRDefault="00A60E2D" w:rsidP="00A60E2D">
      <w:pPr>
        <w:spacing w:after="0" w:line="240" w:lineRule="auto"/>
        <w:textAlignment w:val="baseline"/>
        <w:rPr>
          <w:rFonts w:ascii="Segoe UI" w:eastAsia="Times New Roman" w:hAnsi="Segoe UI" w:cs="Segoe UI"/>
          <w:sz w:val="18"/>
          <w:szCs w:val="18"/>
        </w:rPr>
      </w:pPr>
    </w:p>
    <w:p w14:paraId="343DED58" w14:textId="77777777" w:rsidR="00A60E2D" w:rsidRDefault="00A60E2D" w:rsidP="00A60E2D">
      <w:pPr>
        <w:keepNext/>
        <w:spacing w:after="0" w:line="240" w:lineRule="auto"/>
        <w:jc w:val="center"/>
        <w:textAlignment w:val="baseline"/>
      </w:pPr>
      <w:r w:rsidRPr="00A60E2D">
        <w:rPr>
          <w:rFonts w:ascii="Calibri" w:eastAsia="Calibri" w:hAnsi="Calibri" w:cs="Calibri"/>
          <w:noProof/>
        </w:rPr>
        <w:drawing>
          <wp:inline distT="0" distB="0" distL="0" distR="0" wp14:anchorId="110ADE36" wp14:editId="5D0149B0">
            <wp:extent cx="5725795" cy="18726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795" cy="1872615"/>
                    </a:xfrm>
                    <a:prstGeom prst="rect">
                      <a:avLst/>
                    </a:prstGeom>
                    <a:noFill/>
                    <a:ln>
                      <a:noFill/>
                    </a:ln>
                  </pic:spPr>
                </pic:pic>
              </a:graphicData>
            </a:graphic>
          </wp:inline>
        </w:drawing>
      </w:r>
    </w:p>
    <w:p w14:paraId="0BA8482B" w14:textId="25375ED0" w:rsidR="00A60E2D" w:rsidRDefault="00A60E2D" w:rsidP="00A60E2D">
      <w:pPr>
        <w:spacing w:after="0" w:line="240" w:lineRule="auto"/>
        <w:textAlignment w:val="baseline"/>
        <w:rPr>
          <w:rFonts w:ascii="Calibri" w:eastAsia="Times New Roman" w:hAnsi="Calibri" w:cs="Calibri"/>
          <w:i/>
          <w:iCs/>
          <w:sz w:val="18"/>
          <w:szCs w:val="18"/>
        </w:rPr>
      </w:pPr>
      <w:bookmarkStart w:id="21" w:name="_Ref91069606"/>
      <w:bookmarkStart w:id="22" w:name="_Ref91069591"/>
      <w:r w:rsidRPr="00A60E2D">
        <w:rPr>
          <w:rFonts w:cstheme="minorHAnsi"/>
          <w:b/>
          <w:bCs/>
          <w:sz w:val="18"/>
          <w:szCs w:val="18"/>
        </w:rPr>
        <w:t xml:space="preserve">Figure </w:t>
      </w:r>
      <w:r w:rsidRPr="00A60E2D">
        <w:rPr>
          <w:rFonts w:cstheme="minorHAnsi"/>
          <w:b/>
          <w:bCs/>
          <w:sz w:val="18"/>
          <w:szCs w:val="18"/>
        </w:rPr>
        <w:fldChar w:fldCharType="begin"/>
      </w:r>
      <w:r w:rsidRPr="00A60E2D">
        <w:rPr>
          <w:rFonts w:cstheme="minorHAnsi"/>
          <w:b/>
          <w:bCs/>
          <w:sz w:val="18"/>
          <w:szCs w:val="18"/>
        </w:rPr>
        <w:instrText xml:space="preserve"> SEQ Figure \* ARABIC </w:instrText>
      </w:r>
      <w:r w:rsidRPr="00A60E2D">
        <w:rPr>
          <w:rFonts w:cstheme="minorHAnsi"/>
          <w:b/>
          <w:bCs/>
          <w:sz w:val="18"/>
          <w:szCs w:val="18"/>
        </w:rPr>
        <w:fldChar w:fldCharType="separate"/>
      </w:r>
      <w:r>
        <w:rPr>
          <w:rFonts w:cstheme="minorHAnsi"/>
          <w:b/>
          <w:bCs/>
          <w:noProof/>
          <w:sz w:val="18"/>
          <w:szCs w:val="18"/>
        </w:rPr>
        <w:t>10</w:t>
      </w:r>
      <w:r w:rsidRPr="00A60E2D">
        <w:rPr>
          <w:rFonts w:cstheme="minorHAnsi"/>
          <w:b/>
          <w:bCs/>
          <w:sz w:val="18"/>
          <w:szCs w:val="18"/>
        </w:rPr>
        <w:fldChar w:fldCharType="end"/>
      </w:r>
      <w:bookmarkEnd w:id="21"/>
      <w:r w:rsidRPr="00A60E2D">
        <w:rPr>
          <w:rFonts w:cstheme="minorHAnsi"/>
          <w:b/>
          <w:bCs/>
          <w:sz w:val="18"/>
          <w:szCs w:val="18"/>
        </w:rPr>
        <w:t xml:space="preserve">. </w:t>
      </w:r>
      <w:r w:rsidRPr="00A60E2D">
        <w:rPr>
          <w:rFonts w:eastAsia="Times New Roman" w:cstheme="minorHAnsi"/>
          <w:b/>
          <w:bCs/>
          <w:sz w:val="18"/>
          <w:szCs w:val="18"/>
        </w:rPr>
        <w:t>Simulation</w:t>
      </w:r>
      <w:r w:rsidRPr="00A60E2D">
        <w:rPr>
          <w:rFonts w:ascii="Calibri" w:eastAsia="Times New Roman" w:hAnsi="Calibri" w:cs="Calibri"/>
          <w:b/>
          <w:bCs/>
          <w:sz w:val="18"/>
          <w:szCs w:val="18"/>
        </w:rPr>
        <w:t xml:space="preserve"> conditions for six private offices.</w:t>
      </w:r>
      <w:r w:rsidRPr="00A60E2D">
        <w:rPr>
          <w:rFonts w:ascii="Calibri" w:eastAsia="Times New Roman" w:hAnsi="Calibri" w:cs="Calibri"/>
          <w:sz w:val="18"/>
          <w:szCs w:val="18"/>
        </w:rPr>
        <w:t> As use of private office spaces varied by employee, six different office arrangements were produced to explore the effects of view directions and supplemental task lighting on horizontal and vertical illuminance levels. The lighting layout on the left applies to all six offices, while three of the six include an additional undercabinet task light.</w:t>
      </w:r>
      <w:bookmarkEnd w:id="22"/>
      <w:r w:rsidRPr="00A60E2D">
        <w:rPr>
          <w:rFonts w:ascii="Calibri" w:eastAsia="Times New Roman" w:hAnsi="Calibri" w:cs="Calibri"/>
          <w:i/>
          <w:iCs/>
          <w:sz w:val="18"/>
          <w:szCs w:val="18"/>
        </w:rPr>
        <w:t> </w:t>
      </w:r>
    </w:p>
    <w:p w14:paraId="5C43CE39" w14:textId="77777777" w:rsidR="00A60E2D" w:rsidRDefault="00A60E2D" w:rsidP="00A60E2D">
      <w:pPr>
        <w:spacing w:after="0" w:line="240" w:lineRule="auto"/>
        <w:textAlignment w:val="baseline"/>
        <w:rPr>
          <w:rFonts w:ascii="Calibri" w:eastAsia="Times New Roman" w:hAnsi="Calibri" w:cs="Calibri"/>
          <w:i/>
          <w:iCs/>
          <w:sz w:val="18"/>
          <w:szCs w:val="18"/>
        </w:rPr>
      </w:pPr>
    </w:p>
    <w:p w14:paraId="2248F3C4" w14:textId="6815C3DC" w:rsidR="00A60E2D" w:rsidRPr="00A60E2D" w:rsidRDefault="00A60E2D" w:rsidP="00A60E2D">
      <w:pPr>
        <w:rPr>
          <w:rFonts w:ascii="Segoe UI" w:hAnsi="Segoe UI" w:cs="Segoe UI"/>
          <w:sz w:val="18"/>
          <w:szCs w:val="18"/>
        </w:rPr>
      </w:pPr>
      <w:r w:rsidRPr="00A60E2D">
        <w:t>Horizontal illuminance was simulated on the desk surface in front of the occupant 2.5 ft AFF. Across all six offices and tunable options, the range was between 600 and 1178 lx with an average horizontal illuminance of 839 lx. The largest source of variation between the offices is due to the relationship between the location of the occupant’s workstation and the direct luminaire in the center of the room. Layouts B, E, and F consistently have the highest illuminance measurements across the tunable conditions, simply because the measurement points are the closest to center of the room. As daylight was excluded from the simulations, both layouts facing the perimeter windows (C and D) consistently have the lowest illuminance, due to the lack of reflected light and position of the measurement point relative to the luminaires. Even at the low end of the range, the values are consistent with the light levels provided by the existing lighting system.  </w:t>
      </w:r>
    </w:p>
    <w:p w14:paraId="63BC594D" w14:textId="78FF2119" w:rsidR="00A60E2D" w:rsidRPr="00A60E2D" w:rsidRDefault="00A60E2D" w:rsidP="00A60E2D">
      <w:pPr>
        <w:rPr>
          <w:rFonts w:ascii="Segoe UI" w:hAnsi="Segoe UI" w:cs="Segoe UI"/>
          <w:sz w:val="18"/>
          <w:szCs w:val="18"/>
        </w:rPr>
      </w:pPr>
      <w:r w:rsidRPr="00A60E2D">
        <w:t>Horizontal and vertical contribution from the supplemental task light was most noticeable in office layout B, as shown in</w:t>
      </w:r>
      <w:r w:rsidRPr="003D5FC0">
        <w:t xml:space="preserve"> the summary</w:t>
      </w:r>
      <w:r w:rsidR="003D5FC0" w:rsidRPr="003D5FC0">
        <w:t xml:space="preserve"> </w:t>
      </w:r>
      <w:r w:rsidR="003D5FC0" w:rsidRPr="003D5FC0">
        <w:fldChar w:fldCharType="begin"/>
      </w:r>
      <w:r w:rsidR="003D5FC0" w:rsidRPr="003D5FC0">
        <w:instrText xml:space="preserve"> REF _Ref91070347 \h </w:instrText>
      </w:r>
      <w:r w:rsidR="003D5FC0">
        <w:instrText xml:space="preserve"> \* MERGEFORMAT </w:instrText>
      </w:r>
      <w:r w:rsidR="003D5FC0" w:rsidRPr="003D5FC0">
        <w:fldChar w:fldCharType="separate"/>
      </w:r>
      <w:r w:rsidR="003D5FC0" w:rsidRPr="003D5FC0">
        <w:t>Table 4</w:t>
      </w:r>
      <w:r w:rsidR="003D5FC0" w:rsidRPr="003D5FC0">
        <w:fldChar w:fldCharType="end"/>
      </w:r>
      <w:r w:rsidRPr="003D5FC0">
        <w:t>. This is expected, as the occupant is directly facing the cabinet with the supplemental task light in this layout. Compared to office layout A, layout B with the task light provides an additional 60 to 130 lx at the occupant’s eyes</w:t>
      </w:r>
      <w:r w:rsidRPr="00A60E2D">
        <w:t>. There is no noticeable difference caused by task light contribution when the occupant is facing the interior of the room with the task light beside them (F), nor when the occupant is facing the window with the task light beside them (C). </w:t>
      </w:r>
    </w:p>
    <w:p w14:paraId="45EFC9D3" w14:textId="06C9E539" w:rsidR="00A60E2D" w:rsidRPr="00A60E2D" w:rsidRDefault="00A60E2D" w:rsidP="00A60E2D">
      <w:pPr>
        <w:spacing w:after="0" w:line="240" w:lineRule="auto"/>
        <w:textAlignment w:val="baseline"/>
        <w:rPr>
          <w:rFonts w:ascii="Segoe UI" w:eastAsia="Times New Roman" w:hAnsi="Segoe UI" w:cs="Segoe UI"/>
          <w:i/>
          <w:iCs/>
          <w:color w:val="44546A"/>
          <w:sz w:val="18"/>
          <w:szCs w:val="18"/>
        </w:rPr>
      </w:pPr>
      <w:bookmarkStart w:id="23" w:name="_Ref91070347"/>
      <w:r w:rsidRPr="00A60E2D">
        <w:rPr>
          <w:b/>
          <w:bCs/>
          <w:sz w:val="18"/>
          <w:szCs w:val="18"/>
        </w:rPr>
        <w:t xml:space="preserve">Table </w:t>
      </w:r>
      <w:r w:rsidRPr="00A60E2D">
        <w:rPr>
          <w:b/>
          <w:bCs/>
          <w:sz w:val="18"/>
          <w:szCs w:val="18"/>
        </w:rPr>
        <w:fldChar w:fldCharType="begin"/>
      </w:r>
      <w:r w:rsidRPr="00A60E2D">
        <w:rPr>
          <w:b/>
          <w:bCs/>
          <w:sz w:val="18"/>
          <w:szCs w:val="18"/>
        </w:rPr>
        <w:instrText xml:space="preserve"> SEQ Table \* ARABIC </w:instrText>
      </w:r>
      <w:r w:rsidRPr="00A60E2D">
        <w:rPr>
          <w:b/>
          <w:bCs/>
          <w:sz w:val="18"/>
          <w:szCs w:val="18"/>
        </w:rPr>
        <w:fldChar w:fldCharType="separate"/>
      </w:r>
      <w:r w:rsidRPr="00A60E2D">
        <w:rPr>
          <w:b/>
          <w:bCs/>
          <w:noProof/>
          <w:sz w:val="18"/>
          <w:szCs w:val="18"/>
        </w:rPr>
        <w:t>4</w:t>
      </w:r>
      <w:r w:rsidRPr="00A60E2D">
        <w:rPr>
          <w:b/>
          <w:bCs/>
          <w:sz w:val="18"/>
          <w:szCs w:val="18"/>
        </w:rPr>
        <w:fldChar w:fldCharType="end"/>
      </w:r>
      <w:bookmarkEnd w:id="23"/>
      <w:r>
        <w:rPr>
          <w:b/>
          <w:bCs/>
          <w:sz w:val="18"/>
          <w:szCs w:val="18"/>
        </w:rPr>
        <w:t>.</w:t>
      </w:r>
      <w:r w:rsidRPr="00A60E2D">
        <w:rPr>
          <w:rFonts w:ascii="Calibri" w:eastAsia="Times New Roman" w:hAnsi="Calibri" w:cs="Calibri"/>
          <w:b/>
          <w:bCs/>
          <w:sz w:val="18"/>
          <w:szCs w:val="18"/>
        </w:rPr>
        <w:t xml:space="preserve"> Private office ALFA simulation results for horizontal and vertical illuminance.</w:t>
      </w:r>
      <w:r w:rsidRPr="00A60E2D">
        <w:rPr>
          <w:rFonts w:ascii="Calibri" w:eastAsia="Times New Roman" w:hAnsi="Calibri" w:cs="Calibri"/>
          <w:sz w:val="18"/>
          <w:szCs w:val="18"/>
        </w:rPr>
        <w:t> Work plane illuminance was simulated 2.5 ft AFF and vertical illuminance at the eye was simulated 4 ft AFF assuming a primary view direction for the office occupant.</w:t>
      </w:r>
      <w:r w:rsidRPr="00A60E2D">
        <w:rPr>
          <w:rFonts w:ascii="Calibri" w:eastAsia="Times New Roman" w:hAnsi="Calibri" w:cs="Calibri"/>
          <w:i/>
          <w:iCs/>
          <w:sz w:val="18"/>
          <w:szCs w:val="18"/>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930"/>
        <w:gridCol w:w="930"/>
        <w:gridCol w:w="930"/>
        <w:gridCol w:w="945"/>
        <w:gridCol w:w="930"/>
        <w:gridCol w:w="930"/>
        <w:gridCol w:w="930"/>
        <w:gridCol w:w="930"/>
        <w:gridCol w:w="945"/>
      </w:tblGrid>
      <w:tr w:rsidR="00A60E2D" w:rsidRPr="00A60E2D" w14:paraId="4A192935" w14:textId="77777777" w:rsidTr="00A60E2D">
        <w:trPr>
          <w:trHeight w:val="300"/>
        </w:trPr>
        <w:tc>
          <w:tcPr>
            <w:tcW w:w="930" w:type="dxa"/>
            <w:tcBorders>
              <w:top w:val="nil"/>
              <w:left w:val="nil"/>
              <w:bottom w:val="nil"/>
              <w:right w:val="nil"/>
            </w:tcBorders>
            <w:shd w:val="clear" w:color="auto" w:fill="auto"/>
            <w:vAlign w:val="bottom"/>
            <w:hideMark/>
          </w:tcPr>
          <w:p w14:paraId="5A5E5B09"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rPr>
              <w:t> </w:t>
            </w:r>
          </w:p>
        </w:tc>
        <w:tc>
          <w:tcPr>
            <w:tcW w:w="3735"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70D75AFB"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Work plane Illuminance </w:t>
            </w:r>
          </w:p>
        </w:tc>
        <w:tc>
          <w:tcPr>
            <w:tcW w:w="930" w:type="dxa"/>
            <w:tcBorders>
              <w:top w:val="nil"/>
              <w:left w:val="nil"/>
              <w:bottom w:val="nil"/>
              <w:right w:val="nil"/>
            </w:tcBorders>
            <w:shd w:val="clear" w:color="auto" w:fill="auto"/>
            <w:vAlign w:val="bottom"/>
            <w:hideMark/>
          </w:tcPr>
          <w:p w14:paraId="10CA52E9"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rPr>
              <w:t> </w:t>
            </w:r>
          </w:p>
        </w:tc>
        <w:tc>
          <w:tcPr>
            <w:tcW w:w="3735"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3CDB74B5"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Vertical Illuminance </w:t>
            </w:r>
          </w:p>
        </w:tc>
      </w:tr>
      <w:tr w:rsidR="00A60E2D" w:rsidRPr="00A60E2D" w14:paraId="237C7915" w14:textId="77777777" w:rsidTr="00A60E2D">
        <w:trPr>
          <w:trHeight w:val="300"/>
        </w:trPr>
        <w:tc>
          <w:tcPr>
            <w:tcW w:w="930" w:type="dxa"/>
            <w:tcBorders>
              <w:top w:val="nil"/>
              <w:left w:val="nil"/>
              <w:bottom w:val="nil"/>
              <w:right w:val="nil"/>
            </w:tcBorders>
            <w:shd w:val="clear" w:color="auto" w:fill="auto"/>
            <w:vAlign w:val="bottom"/>
            <w:hideMark/>
          </w:tcPr>
          <w:p w14:paraId="424EADD8"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rPr>
              <w:t> </w:t>
            </w:r>
          </w:p>
        </w:tc>
        <w:tc>
          <w:tcPr>
            <w:tcW w:w="93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5F701E45"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3000 K </w:t>
            </w:r>
          </w:p>
        </w:tc>
        <w:tc>
          <w:tcPr>
            <w:tcW w:w="930" w:type="dxa"/>
            <w:tcBorders>
              <w:top w:val="nil"/>
              <w:left w:val="single" w:sz="6" w:space="0" w:color="auto"/>
              <w:bottom w:val="single" w:sz="6" w:space="0" w:color="auto"/>
              <w:right w:val="single" w:sz="6" w:space="0" w:color="auto"/>
            </w:tcBorders>
            <w:shd w:val="clear" w:color="auto" w:fill="auto"/>
            <w:vAlign w:val="bottom"/>
            <w:hideMark/>
          </w:tcPr>
          <w:p w14:paraId="6B461EFF"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3500 K </w:t>
            </w:r>
          </w:p>
        </w:tc>
        <w:tc>
          <w:tcPr>
            <w:tcW w:w="930" w:type="dxa"/>
            <w:tcBorders>
              <w:top w:val="nil"/>
              <w:left w:val="single" w:sz="6" w:space="0" w:color="auto"/>
              <w:bottom w:val="single" w:sz="6" w:space="0" w:color="auto"/>
              <w:right w:val="single" w:sz="6" w:space="0" w:color="auto"/>
            </w:tcBorders>
            <w:shd w:val="clear" w:color="auto" w:fill="auto"/>
            <w:vAlign w:val="bottom"/>
            <w:hideMark/>
          </w:tcPr>
          <w:p w14:paraId="7C2005FC"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4000 K </w:t>
            </w:r>
          </w:p>
        </w:tc>
        <w:tc>
          <w:tcPr>
            <w:tcW w:w="945" w:type="dxa"/>
            <w:tcBorders>
              <w:top w:val="nil"/>
              <w:left w:val="single" w:sz="6" w:space="0" w:color="auto"/>
              <w:bottom w:val="single" w:sz="6" w:space="0" w:color="auto"/>
              <w:right w:val="single" w:sz="6" w:space="0" w:color="000000"/>
            </w:tcBorders>
            <w:shd w:val="clear" w:color="auto" w:fill="auto"/>
            <w:vAlign w:val="bottom"/>
            <w:hideMark/>
          </w:tcPr>
          <w:p w14:paraId="73927D5E"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5000 K </w:t>
            </w:r>
          </w:p>
        </w:tc>
        <w:tc>
          <w:tcPr>
            <w:tcW w:w="930" w:type="dxa"/>
            <w:tcBorders>
              <w:top w:val="nil"/>
              <w:left w:val="single" w:sz="6" w:space="0" w:color="auto"/>
              <w:bottom w:val="nil"/>
              <w:right w:val="nil"/>
            </w:tcBorders>
            <w:shd w:val="clear" w:color="auto" w:fill="auto"/>
            <w:vAlign w:val="bottom"/>
            <w:hideMark/>
          </w:tcPr>
          <w:p w14:paraId="55E083D8"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rPr>
              <w:t> </w:t>
            </w:r>
          </w:p>
        </w:tc>
        <w:tc>
          <w:tcPr>
            <w:tcW w:w="93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212EE9AF"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3000 K </w:t>
            </w:r>
          </w:p>
        </w:tc>
        <w:tc>
          <w:tcPr>
            <w:tcW w:w="930" w:type="dxa"/>
            <w:tcBorders>
              <w:top w:val="nil"/>
              <w:left w:val="single" w:sz="6" w:space="0" w:color="auto"/>
              <w:bottom w:val="single" w:sz="6" w:space="0" w:color="auto"/>
              <w:right w:val="single" w:sz="6" w:space="0" w:color="auto"/>
            </w:tcBorders>
            <w:shd w:val="clear" w:color="auto" w:fill="auto"/>
            <w:vAlign w:val="bottom"/>
            <w:hideMark/>
          </w:tcPr>
          <w:p w14:paraId="1FC7ADDA"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3500 K </w:t>
            </w:r>
          </w:p>
        </w:tc>
        <w:tc>
          <w:tcPr>
            <w:tcW w:w="930" w:type="dxa"/>
            <w:tcBorders>
              <w:top w:val="nil"/>
              <w:left w:val="single" w:sz="6" w:space="0" w:color="auto"/>
              <w:bottom w:val="single" w:sz="6" w:space="0" w:color="auto"/>
              <w:right w:val="single" w:sz="6" w:space="0" w:color="auto"/>
            </w:tcBorders>
            <w:shd w:val="clear" w:color="auto" w:fill="auto"/>
            <w:vAlign w:val="bottom"/>
            <w:hideMark/>
          </w:tcPr>
          <w:p w14:paraId="4A653E6A"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4000 K </w:t>
            </w:r>
          </w:p>
        </w:tc>
        <w:tc>
          <w:tcPr>
            <w:tcW w:w="945" w:type="dxa"/>
            <w:tcBorders>
              <w:top w:val="nil"/>
              <w:left w:val="single" w:sz="6" w:space="0" w:color="auto"/>
              <w:bottom w:val="single" w:sz="6" w:space="0" w:color="auto"/>
              <w:right w:val="single" w:sz="6" w:space="0" w:color="000000"/>
            </w:tcBorders>
            <w:shd w:val="clear" w:color="auto" w:fill="auto"/>
            <w:vAlign w:val="bottom"/>
            <w:hideMark/>
          </w:tcPr>
          <w:p w14:paraId="29184785" w14:textId="7777777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5000 K </w:t>
            </w:r>
          </w:p>
        </w:tc>
      </w:tr>
      <w:tr w:rsidR="00A60E2D" w:rsidRPr="00A60E2D" w14:paraId="7B972E6C" w14:textId="77777777" w:rsidTr="00A60E2D">
        <w:trPr>
          <w:trHeight w:val="300"/>
        </w:trPr>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3DE435"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A </w:t>
            </w:r>
          </w:p>
        </w:tc>
        <w:tc>
          <w:tcPr>
            <w:tcW w:w="930" w:type="dxa"/>
            <w:tcBorders>
              <w:top w:val="single" w:sz="6" w:space="0" w:color="auto"/>
              <w:left w:val="single" w:sz="6" w:space="0" w:color="auto"/>
              <w:bottom w:val="single" w:sz="6" w:space="0" w:color="auto"/>
              <w:right w:val="single" w:sz="6" w:space="0" w:color="auto"/>
            </w:tcBorders>
            <w:shd w:val="clear" w:color="auto" w:fill="F9D3BA"/>
            <w:vAlign w:val="bottom"/>
            <w:hideMark/>
          </w:tcPr>
          <w:p w14:paraId="5668AD54" w14:textId="1D39B6F0"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796</w:t>
            </w:r>
          </w:p>
        </w:tc>
        <w:tc>
          <w:tcPr>
            <w:tcW w:w="930" w:type="dxa"/>
            <w:tcBorders>
              <w:top w:val="single" w:sz="6" w:space="0" w:color="auto"/>
              <w:left w:val="single" w:sz="6" w:space="0" w:color="auto"/>
              <w:bottom w:val="single" w:sz="6" w:space="0" w:color="auto"/>
              <w:right w:val="single" w:sz="6" w:space="0" w:color="auto"/>
            </w:tcBorders>
            <w:shd w:val="clear" w:color="auto" w:fill="FCE7D8"/>
            <w:vAlign w:val="bottom"/>
            <w:hideMark/>
          </w:tcPr>
          <w:p w14:paraId="08CE54E6" w14:textId="4A2BD6C0"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710</w:t>
            </w:r>
          </w:p>
        </w:tc>
        <w:tc>
          <w:tcPr>
            <w:tcW w:w="930" w:type="dxa"/>
            <w:tcBorders>
              <w:top w:val="single" w:sz="6" w:space="0" w:color="auto"/>
              <w:left w:val="single" w:sz="6" w:space="0" w:color="auto"/>
              <w:bottom w:val="single" w:sz="6" w:space="0" w:color="auto"/>
              <w:right w:val="single" w:sz="6" w:space="0" w:color="auto"/>
            </w:tcBorders>
            <w:shd w:val="clear" w:color="auto" w:fill="F5B58A"/>
            <w:vAlign w:val="bottom"/>
            <w:hideMark/>
          </w:tcPr>
          <w:p w14:paraId="6E9BA5D0" w14:textId="0EDA5B1F"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931</w:t>
            </w:r>
          </w:p>
        </w:tc>
        <w:tc>
          <w:tcPr>
            <w:tcW w:w="945" w:type="dxa"/>
            <w:tcBorders>
              <w:top w:val="single" w:sz="6" w:space="0" w:color="auto"/>
              <w:left w:val="single" w:sz="6" w:space="0" w:color="auto"/>
              <w:bottom w:val="single" w:sz="6" w:space="0" w:color="auto"/>
              <w:right w:val="single" w:sz="6" w:space="0" w:color="auto"/>
            </w:tcBorders>
            <w:shd w:val="clear" w:color="auto" w:fill="F8C9A9"/>
            <w:vAlign w:val="bottom"/>
            <w:hideMark/>
          </w:tcPr>
          <w:p w14:paraId="6435077C" w14:textId="69E65FCB"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843</w:t>
            </w:r>
          </w:p>
        </w:tc>
        <w:tc>
          <w:tcPr>
            <w:tcW w:w="930" w:type="dxa"/>
            <w:tcBorders>
              <w:top w:val="nil"/>
              <w:left w:val="single" w:sz="6" w:space="0" w:color="auto"/>
              <w:bottom w:val="nil"/>
              <w:right w:val="nil"/>
            </w:tcBorders>
            <w:shd w:val="clear" w:color="auto" w:fill="auto"/>
            <w:vAlign w:val="bottom"/>
            <w:hideMark/>
          </w:tcPr>
          <w:p w14:paraId="616D01AD" w14:textId="45F5DD0A"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shd w:val="clear" w:color="auto" w:fill="F7C5A3"/>
            <w:vAlign w:val="bottom"/>
            <w:hideMark/>
          </w:tcPr>
          <w:p w14:paraId="2DE63DB0" w14:textId="042DB0DD"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261</w:t>
            </w:r>
          </w:p>
        </w:tc>
        <w:tc>
          <w:tcPr>
            <w:tcW w:w="930" w:type="dxa"/>
            <w:tcBorders>
              <w:top w:val="single" w:sz="6" w:space="0" w:color="auto"/>
              <w:left w:val="single" w:sz="6" w:space="0" w:color="auto"/>
              <w:bottom w:val="single" w:sz="6" w:space="0" w:color="auto"/>
              <w:right w:val="single" w:sz="6" w:space="0" w:color="auto"/>
            </w:tcBorders>
            <w:shd w:val="clear" w:color="auto" w:fill="F7C09B"/>
            <w:vAlign w:val="bottom"/>
            <w:hideMark/>
          </w:tcPr>
          <w:p w14:paraId="74D95BBB" w14:textId="67E6B4CC"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279</w:t>
            </w:r>
          </w:p>
        </w:tc>
        <w:tc>
          <w:tcPr>
            <w:tcW w:w="930" w:type="dxa"/>
            <w:tcBorders>
              <w:top w:val="single" w:sz="6" w:space="0" w:color="auto"/>
              <w:left w:val="single" w:sz="6" w:space="0" w:color="auto"/>
              <w:bottom w:val="single" w:sz="6" w:space="0" w:color="auto"/>
              <w:right w:val="single" w:sz="6" w:space="0" w:color="auto"/>
            </w:tcBorders>
            <w:shd w:val="clear" w:color="auto" w:fill="F7C5A3"/>
            <w:vAlign w:val="bottom"/>
            <w:hideMark/>
          </w:tcPr>
          <w:p w14:paraId="51A10A1F" w14:textId="18B2DDE3"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262</w:t>
            </w:r>
          </w:p>
        </w:tc>
        <w:tc>
          <w:tcPr>
            <w:tcW w:w="945" w:type="dxa"/>
            <w:tcBorders>
              <w:top w:val="single" w:sz="6" w:space="0" w:color="auto"/>
              <w:left w:val="single" w:sz="6" w:space="0" w:color="auto"/>
              <w:bottom w:val="single" w:sz="6" w:space="0" w:color="auto"/>
              <w:right w:val="single" w:sz="6" w:space="0" w:color="auto"/>
            </w:tcBorders>
            <w:shd w:val="clear" w:color="auto" w:fill="F6BC94"/>
            <w:vAlign w:val="bottom"/>
            <w:hideMark/>
          </w:tcPr>
          <w:p w14:paraId="2A0E2466" w14:textId="20F716E6"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292</w:t>
            </w:r>
          </w:p>
        </w:tc>
      </w:tr>
      <w:tr w:rsidR="00A60E2D" w:rsidRPr="00A60E2D" w14:paraId="499FFEDF" w14:textId="77777777" w:rsidTr="00A60E2D">
        <w:trPr>
          <w:trHeight w:val="300"/>
        </w:trPr>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DCEF79"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B </w:t>
            </w:r>
          </w:p>
        </w:tc>
        <w:tc>
          <w:tcPr>
            <w:tcW w:w="930" w:type="dxa"/>
            <w:tcBorders>
              <w:top w:val="single" w:sz="6" w:space="0" w:color="auto"/>
              <w:left w:val="single" w:sz="6" w:space="0" w:color="auto"/>
              <w:bottom w:val="single" w:sz="6" w:space="0" w:color="auto"/>
              <w:right w:val="single" w:sz="6" w:space="0" w:color="auto"/>
            </w:tcBorders>
            <w:shd w:val="clear" w:color="auto" w:fill="F3A26B"/>
            <w:vAlign w:val="bottom"/>
            <w:hideMark/>
          </w:tcPr>
          <w:p w14:paraId="43DBFA1B" w14:textId="42362955"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1016</w:t>
            </w:r>
          </w:p>
        </w:tc>
        <w:tc>
          <w:tcPr>
            <w:tcW w:w="930" w:type="dxa"/>
            <w:tcBorders>
              <w:top w:val="single" w:sz="6" w:space="0" w:color="auto"/>
              <w:left w:val="single" w:sz="6" w:space="0" w:color="auto"/>
              <w:bottom w:val="single" w:sz="6" w:space="0" w:color="auto"/>
              <w:right w:val="single" w:sz="6" w:space="0" w:color="auto"/>
            </w:tcBorders>
            <w:shd w:val="clear" w:color="auto" w:fill="ED7D31"/>
            <w:vAlign w:val="bottom"/>
            <w:hideMark/>
          </w:tcPr>
          <w:p w14:paraId="6916AF1B" w14:textId="32DC6910"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1178</w:t>
            </w:r>
          </w:p>
        </w:tc>
        <w:tc>
          <w:tcPr>
            <w:tcW w:w="930" w:type="dxa"/>
            <w:tcBorders>
              <w:top w:val="single" w:sz="6" w:space="0" w:color="auto"/>
              <w:left w:val="single" w:sz="6" w:space="0" w:color="auto"/>
              <w:bottom w:val="single" w:sz="6" w:space="0" w:color="auto"/>
              <w:right w:val="single" w:sz="6" w:space="0" w:color="auto"/>
            </w:tcBorders>
            <w:shd w:val="clear" w:color="auto" w:fill="F5B589"/>
            <w:vAlign w:val="bottom"/>
            <w:hideMark/>
          </w:tcPr>
          <w:p w14:paraId="26487BB9" w14:textId="4CB753B8"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933</w:t>
            </w:r>
          </w:p>
        </w:tc>
        <w:tc>
          <w:tcPr>
            <w:tcW w:w="945" w:type="dxa"/>
            <w:tcBorders>
              <w:top w:val="single" w:sz="6" w:space="0" w:color="auto"/>
              <w:left w:val="single" w:sz="6" w:space="0" w:color="auto"/>
              <w:bottom w:val="single" w:sz="6" w:space="0" w:color="auto"/>
              <w:right w:val="single" w:sz="6" w:space="0" w:color="auto"/>
            </w:tcBorders>
            <w:shd w:val="clear" w:color="auto" w:fill="F7C09B"/>
            <w:vAlign w:val="bottom"/>
            <w:hideMark/>
          </w:tcPr>
          <w:p w14:paraId="45BF24AD" w14:textId="30138992"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883</w:t>
            </w:r>
          </w:p>
        </w:tc>
        <w:tc>
          <w:tcPr>
            <w:tcW w:w="930" w:type="dxa"/>
            <w:tcBorders>
              <w:top w:val="nil"/>
              <w:left w:val="single" w:sz="6" w:space="0" w:color="auto"/>
              <w:bottom w:val="nil"/>
              <w:right w:val="nil"/>
            </w:tcBorders>
            <w:shd w:val="clear" w:color="auto" w:fill="auto"/>
            <w:vAlign w:val="bottom"/>
            <w:hideMark/>
          </w:tcPr>
          <w:p w14:paraId="50EECABA" w14:textId="789163B4"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shd w:val="clear" w:color="auto" w:fill="F4AD7C"/>
            <w:vAlign w:val="bottom"/>
            <w:hideMark/>
          </w:tcPr>
          <w:p w14:paraId="73E41F27" w14:textId="7CAADD09"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341</w:t>
            </w:r>
          </w:p>
        </w:tc>
        <w:tc>
          <w:tcPr>
            <w:tcW w:w="930" w:type="dxa"/>
            <w:tcBorders>
              <w:top w:val="single" w:sz="6" w:space="0" w:color="auto"/>
              <w:left w:val="single" w:sz="6" w:space="0" w:color="auto"/>
              <w:bottom w:val="single" w:sz="6" w:space="0" w:color="auto"/>
              <w:right w:val="single" w:sz="6" w:space="0" w:color="auto"/>
            </w:tcBorders>
            <w:shd w:val="clear" w:color="auto" w:fill="F3A774"/>
            <w:vAlign w:val="bottom"/>
            <w:hideMark/>
          </w:tcPr>
          <w:p w14:paraId="118C165A" w14:textId="41EE8ACB"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358</w:t>
            </w:r>
          </w:p>
        </w:tc>
        <w:tc>
          <w:tcPr>
            <w:tcW w:w="930" w:type="dxa"/>
            <w:tcBorders>
              <w:top w:val="single" w:sz="6" w:space="0" w:color="auto"/>
              <w:left w:val="single" w:sz="6" w:space="0" w:color="auto"/>
              <w:bottom w:val="single" w:sz="6" w:space="0" w:color="auto"/>
              <w:right w:val="single" w:sz="6" w:space="0" w:color="auto"/>
            </w:tcBorders>
            <w:shd w:val="clear" w:color="auto" w:fill="F5B285"/>
            <w:vAlign w:val="bottom"/>
            <w:hideMark/>
          </w:tcPr>
          <w:p w14:paraId="464245D9" w14:textId="774F7691"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324</w:t>
            </w:r>
          </w:p>
        </w:tc>
        <w:tc>
          <w:tcPr>
            <w:tcW w:w="945" w:type="dxa"/>
            <w:tcBorders>
              <w:top w:val="single" w:sz="6" w:space="0" w:color="auto"/>
              <w:left w:val="single" w:sz="6" w:space="0" w:color="auto"/>
              <w:bottom w:val="single" w:sz="6" w:space="0" w:color="auto"/>
              <w:right w:val="single" w:sz="6" w:space="0" w:color="auto"/>
            </w:tcBorders>
            <w:shd w:val="clear" w:color="auto" w:fill="F19456"/>
            <w:vAlign w:val="bottom"/>
            <w:hideMark/>
          </w:tcPr>
          <w:p w14:paraId="777E76C9" w14:textId="3E849D4D"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421</w:t>
            </w:r>
          </w:p>
        </w:tc>
      </w:tr>
      <w:tr w:rsidR="00A60E2D" w:rsidRPr="00A60E2D" w14:paraId="49FEC15B" w14:textId="77777777" w:rsidTr="00A60E2D">
        <w:trPr>
          <w:trHeight w:val="300"/>
        </w:trPr>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01829C"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C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FC6D18" w14:textId="009359EF"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600</w:t>
            </w:r>
          </w:p>
        </w:tc>
        <w:tc>
          <w:tcPr>
            <w:tcW w:w="930" w:type="dxa"/>
            <w:tcBorders>
              <w:top w:val="single" w:sz="6" w:space="0" w:color="auto"/>
              <w:left w:val="single" w:sz="6" w:space="0" w:color="auto"/>
              <w:bottom w:val="single" w:sz="6" w:space="0" w:color="auto"/>
              <w:right w:val="single" w:sz="6" w:space="0" w:color="auto"/>
            </w:tcBorders>
            <w:shd w:val="clear" w:color="auto" w:fill="FDF0E7"/>
            <w:vAlign w:val="bottom"/>
            <w:hideMark/>
          </w:tcPr>
          <w:p w14:paraId="5CF20410" w14:textId="2FEDD9D3"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669</w:t>
            </w:r>
          </w:p>
        </w:tc>
        <w:tc>
          <w:tcPr>
            <w:tcW w:w="930" w:type="dxa"/>
            <w:tcBorders>
              <w:top w:val="single" w:sz="6" w:space="0" w:color="auto"/>
              <w:left w:val="single" w:sz="6" w:space="0" w:color="auto"/>
              <w:bottom w:val="single" w:sz="6" w:space="0" w:color="auto"/>
              <w:right w:val="single" w:sz="6" w:space="0" w:color="auto"/>
            </w:tcBorders>
            <w:shd w:val="clear" w:color="auto" w:fill="FFFAF7"/>
            <w:vAlign w:val="bottom"/>
            <w:hideMark/>
          </w:tcPr>
          <w:p w14:paraId="4B92CB8E" w14:textId="52CA4FBD"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624</w:t>
            </w:r>
          </w:p>
        </w:tc>
        <w:tc>
          <w:tcPr>
            <w:tcW w:w="945" w:type="dxa"/>
            <w:tcBorders>
              <w:top w:val="single" w:sz="6" w:space="0" w:color="auto"/>
              <w:left w:val="single" w:sz="6" w:space="0" w:color="auto"/>
              <w:bottom w:val="single" w:sz="6" w:space="0" w:color="auto"/>
              <w:right w:val="single" w:sz="6" w:space="0" w:color="auto"/>
            </w:tcBorders>
            <w:shd w:val="clear" w:color="auto" w:fill="FDF1E8"/>
            <w:vAlign w:val="bottom"/>
            <w:hideMark/>
          </w:tcPr>
          <w:p w14:paraId="5997D615" w14:textId="3661F411"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666</w:t>
            </w:r>
          </w:p>
        </w:tc>
        <w:tc>
          <w:tcPr>
            <w:tcW w:w="930" w:type="dxa"/>
            <w:tcBorders>
              <w:top w:val="nil"/>
              <w:left w:val="single" w:sz="6" w:space="0" w:color="auto"/>
              <w:bottom w:val="nil"/>
              <w:right w:val="nil"/>
            </w:tcBorders>
            <w:shd w:val="clear" w:color="auto" w:fill="auto"/>
            <w:vAlign w:val="bottom"/>
            <w:hideMark/>
          </w:tcPr>
          <w:p w14:paraId="30FCD91E" w14:textId="66DD0FA2"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shd w:val="clear" w:color="auto" w:fill="FFFAF7"/>
            <w:vAlign w:val="bottom"/>
            <w:hideMark/>
          </w:tcPr>
          <w:p w14:paraId="6F22268B" w14:textId="49ADA36D"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87</w:t>
            </w:r>
          </w:p>
        </w:tc>
        <w:tc>
          <w:tcPr>
            <w:tcW w:w="930" w:type="dxa"/>
            <w:tcBorders>
              <w:top w:val="single" w:sz="6" w:space="0" w:color="auto"/>
              <w:left w:val="single" w:sz="6" w:space="0" w:color="auto"/>
              <w:bottom w:val="single" w:sz="6" w:space="0" w:color="auto"/>
              <w:right w:val="single" w:sz="6" w:space="0" w:color="auto"/>
            </w:tcBorders>
            <w:shd w:val="clear" w:color="auto" w:fill="FFFAF7"/>
            <w:vAlign w:val="bottom"/>
            <w:hideMark/>
          </w:tcPr>
          <w:p w14:paraId="0C2D89C0" w14:textId="256363D1"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89</w:t>
            </w:r>
          </w:p>
        </w:tc>
        <w:tc>
          <w:tcPr>
            <w:tcW w:w="930" w:type="dxa"/>
            <w:tcBorders>
              <w:top w:val="single" w:sz="6" w:space="0" w:color="auto"/>
              <w:left w:val="single" w:sz="6" w:space="0" w:color="auto"/>
              <w:bottom w:val="single" w:sz="6" w:space="0" w:color="auto"/>
              <w:right w:val="single" w:sz="6" w:space="0" w:color="auto"/>
            </w:tcBorders>
            <w:shd w:val="clear" w:color="auto" w:fill="FFFBF9"/>
            <w:vAlign w:val="bottom"/>
            <w:hideMark/>
          </w:tcPr>
          <w:p w14:paraId="4A0A49EA" w14:textId="70F90CE2"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84</w:t>
            </w:r>
          </w:p>
        </w:tc>
        <w:tc>
          <w:tcPr>
            <w:tcW w:w="945" w:type="dxa"/>
            <w:tcBorders>
              <w:top w:val="single" w:sz="6" w:space="0" w:color="auto"/>
              <w:left w:val="single" w:sz="6" w:space="0" w:color="auto"/>
              <w:bottom w:val="single" w:sz="6" w:space="0" w:color="auto"/>
              <w:right w:val="single" w:sz="6" w:space="0" w:color="auto"/>
            </w:tcBorders>
            <w:shd w:val="clear" w:color="auto" w:fill="FFFCFA"/>
            <w:vAlign w:val="bottom"/>
            <w:hideMark/>
          </w:tcPr>
          <w:p w14:paraId="07C27492" w14:textId="1D7030A4"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81</w:t>
            </w:r>
          </w:p>
        </w:tc>
      </w:tr>
      <w:tr w:rsidR="00A60E2D" w:rsidRPr="00A60E2D" w14:paraId="5F5E05DD" w14:textId="77777777" w:rsidTr="00A60E2D">
        <w:trPr>
          <w:trHeight w:val="300"/>
        </w:trPr>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4CA25D"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D </w:t>
            </w:r>
          </w:p>
        </w:tc>
        <w:tc>
          <w:tcPr>
            <w:tcW w:w="930" w:type="dxa"/>
            <w:tcBorders>
              <w:top w:val="single" w:sz="6" w:space="0" w:color="auto"/>
              <w:left w:val="single" w:sz="6" w:space="0" w:color="auto"/>
              <w:bottom w:val="single" w:sz="6" w:space="0" w:color="auto"/>
              <w:right w:val="single" w:sz="6" w:space="0" w:color="auto"/>
            </w:tcBorders>
            <w:shd w:val="clear" w:color="auto" w:fill="F9D0B4"/>
            <w:vAlign w:val="bottom"/>
            <w:hideMark/>
          </w:tcPr>
          <w:p w14:paraId="0FFDAF9E" w14:textId="7406C4D6"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813</w:t>
            </w:r>
          </w:p>
        </w:tc>
        <w:tc>
          <w:tcPr>
            <w:tcW w:w="930" w:type="dxa"/>
            <w:tcBorders>
              <w:top w:val="single" w:sz="6" w:space="0" w:color="auto"/>
              <w:left w:val="single" w:sz="6" w:space="0" w:color="auto"/>
              <w:bottom w:val="single" w:sz="6" w:space="0" w:color="auto"/>
              <w:right w:val="single" w:sz="6" w:space="0" w:color="auto"/>
            </w:tcBorders>
            <w:shd w:val="clear" w:color="auto" w:fill="FDECE0"/>
            <w:vAlign w:val="bottom"/>
            <w:hideMark/>
          </w:tcPr>
          <w:p w14:paraId="1246EE1C" w14:textId="42BA4DF6"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687</w:t>
            </w:r>
          </w:p>
        </w:tc>
        <w:tc>
          <w:tcPr>
            <w:tcW w:w="930" w:type="dxa"/>
            <w:tcBorders>
              <w:top w:val="single" w:sz="6" w:space="0" w:color="auto"/>
              <w:left w:val="single" w:sz="6" w:space="0" w:color="auto"/>
              <w:bottom w:val="single" w:sz="6" w:space="0" w:color="auto"/>
              <w:right w:val="single" w:sz="6" w:space="0" w:color="auto"/>
            </w:tcBorders>
            <w:shd w:val="clear" w:color="auto" w:fill="FBE2D0"/>
            <w:vAlign w:val="bottom"/>
            <w:hideMark/>
          </w:tcPr>
          <w:p w14:paraId="46295401" w14:textId="004DB8E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733</w:t>
            </w:r>
          </w:p>
        </w:tc>
        <w:tc>
          <w:tcPr>
            <w:tcW w:w="945" w:type="dxa"/>
            <w:tcBorders>
              <w:top w:val="single" w:sz="6" w:space="0" w:color="auto"/>
              <w:left w:val="single" w:sz="6" w:space="0" w:color="auto"/>
              <w:bottom w:val="single" w:sz="6" w:space="0" w:color="auto"/>
              <w:right w:val="single" w:sz="6" w:space="0" w:color="auto"/>
            </w:tcBorders>
            <w:shd w:val="clear" w:color="auto" w:fill="FCEADD"/>
            <w:vAlign w:val="bottom"/>
            <w:hideMark/>
          </w:tcPr>
          <w:p w14:paraId="3A888E2B" w14:textId="40BB23ED"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697</w:t>
            </w:r>
          </w:p>
        </w:tc>
        <w:tc>
          <w:tcPr>
            <w:tcW w:w="930" w:type="dxa"/>
            <w:tcBorders>
              <w:top w:val="nil"/>
              <w:left w:val="single" w:sz="6" w:space="0" w:color="auto"/>
              <w:bottom w:val="nil"/>
              <w:right w:val="nil"/>
            </w:tcBorders>
            <w:shd w:val="clear" w:color="auto" w:fill="auto"/>
            <w:vAlign w:val="bottom"/>
            <w:hideMark/>
          </w:tcPr>
          <w:p w14:paraId="23C2DF5D" w14:textId="665E02CE"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FFC12A" w14:textId="3F9E7A8B"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71</w:t>
            </w:r>
          </w:p>
        </w:tc>
        <w:tc>
          <w:tcPr>
            <w:tcW w:w="930" w:type="dxa"/>
            <w:tcBorders>
              <w:top w:val="single" w:sz="6" w:space="0" w:color="auto"/>
              <w:left w:val="single" w:sz="6" w:space="0" w:color="auto"/>
              <w:bottom w:val="single" w:sz="6" w:space="0" w:color="auto"/>
              <w:right w:val="single" w:sz="6" w:space="0" w:color="auto"/>
            </w:tcBorders>
            <w:shd w:val="clear" w:color="auto" w:fill="FEF7F2"/>
            <w:vAlign w:val="bottom"/>
            <w:hideMark/>
          </w:tcPr>
          <w:p w14:paraId="3FA21B96" w14:textId="3DCFFAF1"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99</w:t>
            </w:r>
          </w:p>
        </w:tc>
        <w:tc>
          <w:tcPr>
            <w:tcW w:w="930" w:type="dxa"/>
            <w:tcBorders>
              <w:top w:val="single" w:sz="6" w:space="0" w:color="auto"/>
              <w:left w:val="single" w:sz="6" w:space="0" w:color="auto"/>
              <w:bottom w:val="single" w:sz="6" w:space="0" w:color="auto"/>
              <w:right w:val="single" w:sz="6" w:space="0" w:color="auto"/>
            </w:tcBorders>
            <w:shd w:val="clear" w:color="auto" w:fill="FFF9F5"/>
            <w:vAlign w:val="bottom"/>
            <w:hideMark/>
          </w:tcPr>
          <w:p w14:paraId="49090D3A" w14:textId="6EDABE39"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93</w:t>
            </w:r>
          </w:p>
        </w:tc>
        <w:tc>
          <w:tcPr>
            <w:tcW w:w="945" w:type="dxa"/>
            <w:tcBorders>
              <w:top w:val="single" w:sz="6" w:space="0" w:color="auto"/>
              <w:left w:val="single" w:sz="6" w:space="0" w:color="auto"/>
              <w:bottom w:val="single" w:sz="6" w:space="0" w:color="auto"/>
              <w:right w:val="single" w:sz="6" w:space="0" w:color="auto"/>
            </w:tcBorders>
            <w:shd w:val="clear" w:color="auto" w:fill="FFF8F4"/>
            <w:vAlign w:val="bottom"/>
            <w:hideMark/>
          </w:tcPr>
          <w:p w14:paraId="7B4D4BB3" w14:textId="58C08645"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94</w:t>
            </w:r>
          </w:p>
        </w:tc>
      </w:tr>
      <w:tr w:rsidR="00A60E2D" w:rsidRPr="00A60E2D" w14:paraId="7E6B4D57" w14:textId="77777777" w:rsidTr="00A60E2D">
        <w:trPr>
          <w:trHeight w:val="300"/>
        </w:trPr>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13E898"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E </w:t>
            </w:r>
          </w:p>
        </w:tc>
        <w:tc>
          <w:tcPr>
            <w:tcW w:w="930" w:type="dxa"/>
            <w:tcBorders>
              <w:top w:val="single" w:sz="6" w:space="0" w:color="auto"/>
              <w:left w:val="single" w:sz="6" w:space="0" w:color="auto"/>
              <w:bottom w:val="single" w:sz="6" w:space="0" w:color="auto"/>
              <w:right w:val="single" w:sz="6" w:space="0" w:color="auto"/>
            </w:tcBorders>
            <w:shd w:val="clear" w:color="auto" w:fill="F7C29F"/>
            <w:vAlign w:val="bottom"/>
            <w:hideMark/>
          </w:tcPr>
          <w:p w14:paraId="57CEEBFB" w14:textId="6CEBDEC1"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872</w:t>
            </w:r>
          </w:p>
        </w:tc>
        <w:tc>
          <w:tcPr>
            <w:tcW w:w="930" w:type="dxa"/>
            <w:tcBorders>
              <w:top w:val="single" w:sz="6" w:space="0" w:color="auto"/>
              <w:left w:val="single" w:sz="6" w:space="0" w:color="auto"/>
              <w:bottom w:val="single" w:sz="6" w:space="0" w:color="auto"/>
              <w:right w:val="single" w:sz="6" w:space="0" w:color="auto"/>
            </w:tcBorders>
            <w:shd w:val="clear" w:color="auto" w:fill="F2A068"/>
            <w:vAlign w:val="bottom"/>
            <w:hideMark/>
          </w:tcPr>
          <w:p w14:paraId="383FD114" w14:textId="2FCD7C3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1024</w:t>
            </w:r>
          </w:p>
        </w:tc>
        <w:tc>
          <w:tcPr>
            <w:tcW w:w="930" w:type="dxa"/>
            <w:tcBorders>
              <w:top w:val="single" w:sz="6" w:space="0" w:color="auto"/>
              <w:left w:val="single" w:sz="6" w:space="0" w:color="auto"/>
              <w:bottom w:val="single" w:sz="6" w:space="0" w:color="auto"/>
              <w:right w:val="single" w:sz="6" w:space="0" w:color="auto"/>
            </w:tcBorders>
            <w:shd w:val="clear" w:color="auto" w:fill="F5B488"/>
            <w:vAlign w:val="bottom"/>
            <w:hideMark/>
          </w:tcPr>
          <w:p w14:paraId="0344BE64" w14:textId="7923053F"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936</w:t>
            </w:r>
          </w:p>
        </w:tc>
        <w:tc>
          <w:tcPr>
            <w:tcW w:w="945" w:type="dxa"/>
            <w:tcBorders>
              <w:top w:val="single" w:sz="6" w:space="0" w:color="auto"/>
              <w:left w:val="single" w:sz="6" w:space="0" w:color="auto"/>
              <w:bottom w:val="single" w:sz="6" w:space="0" w:color="auto"/>
              <w:right w:val="single" w:sz="6" w:space="0" w:color="auto"/>
            </w:tcBorders>
            <w:shd w:val="clear" w:color="auto" w:fill="F7BF99"/>
            <w:vAlign w:val="bottom"/>
            <w:hideMark/>
          </w:tcPr>
          <w:p w14:paraId="7F48B8CC" w14:textId="4F8D35BA"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889</w:t>
            </w:r>
          </w:p>
        </w:tc>
        <w:tc>
          <w:tcPr>
            <w:tcW w:w="930" w:type="dxa"/>
            <w:tcBorders>
              <w:top w:val="nil"/>
              <w:left w:val="single" w:sz="6" w:space="0" w:color="auto"/>
              <w:bottom w:val="nil"/>
              <w:right w:val="nil"/>
            </w:tcBorders>
            <w:shd w:val="clear" w:color="auto" w:fill="auto"/>
            <w:vAlign w:val="bottom"/>
            <w:hideMark/>
          </w:tcPr>
          <w:p w14:paraId="23E66C57" w14:textId="7752F383"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shd w:val="clear" w:color="auto" w:fill="F3A26C"/>
            <w:vAlign w:val="bottom"/>
            <w:hideMark/>
          </w:tcPr>
          <w:p w14:paraId="59D70452" w14:textId="4454EBB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375</w:t>
            </w:r>
          </w:p>
        </w:tc>
        <w:tc>
          <w:tcPr>
            <w:tcW w:w="930" w:type="dxa"/>
            <w:tcBorders>
              <w:top w:val="single" w:sz="6" w:space="0" w:color="auto"/>
              <w:left w:val="single" w:sz="6" w:space="0" w:color="auto"/>
              <w:bottom w:val="single" w:sz="6" w:space="0" w:color="auto"/>
              <w:right w:val="single" w:sz="6" w:space="0" w:color="auto"/>
            </w:tcBorders>
            <w:shd w:val="clear" w:color="auto" w:fill="F29C62"/>
            <w:vAlign w:val="bottom"/>
            <w:hideMark/>
          </w:tcPr>
          <w:p w14:paraId="28CD98E7" w14:textId="08E3A08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395</w:t>
            </w:r>
          </w:p>
        </w:tc>
        <w:tc>
          <w:tcPr>
            <w:tcW w:w="930" w:type="dxa"/>
            <w:tcBorders>
              <w:top w:val="single" w:sz="6" w:space="0" w:color="auto"/>
              <w:left w:val="single" w:sz="6" w:space="0" w:color="auto"/>
              <w:bottom w:val="single" w:sz="6" w:space="0" w:color="auto"/>
              <w:right w:val="single" w:sz="6" w:space="0" w:color="auto"/>
            </w:tcBorders>
            <w:shd w:val="clear" w:color="auto" w:fill="ED7D31"/>
            <w:vAlign w:val="bottom"/>
            <w:hideMark/>
          </w:tcPr>
          <w:p w14:paraId="726FAAF5" w14:textId="1F9214BD"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496</w:t>
            </w:r>
          </w:p>
        </w:tc>
        <w:tc>
          <w:tcPr>
            <w:tcW w:w="945" w:type="dxa"/>
            <w:tcBorders>
              <w:top w:val="single" w:sz="6" w:space="0" w:color="auto"/>
              <w:left w:val="single" w:sz="6" w:space="0" w:color="auto"/>
              <w:bottom w:val="single" w:sz="6" w:space="0" w:color="auto"/>
              <w:right w:val="single" w:sz="6" w:space="0" w:color="auto"/>
            </w:tcBorders>
            <w:shd w:val="clear" w:color="auto" w:fill="F19354"/>
            <w:vAlign w:val="bottom"/>
            <w:hideMark/>
          </w:tcPr>
          <w:p w14:paraId="40FE7F6D" w14:textId="42326B41"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424</w:t>
            </w:r>
          </w:p>
        </w:tc>
      </w:tr>
      <w:tr w:rsidR="00A60E2D" w:rsidRPr="00A60E2D" w14:paraId="27AABD55" w14:textId="77777777" w:rsidTr="00A60E2D">
        <w:trPr>
          <w:trHeight w:val="300"/>
        </w:trPr>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82ED27" w14:textId="77777777" w:rsidR="00A60E2D" w:rsidRPr="00A60E2D" w:rsidRDefault="00A60E2D" w:rsidP="00A60E2D">
            <w:pPr>
              <w:spacing w:after="0" w:line="240" w:lineRule="auto"/>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F </w:t>
            </w:r>
          </w:p>
        </w:tc>
        <w:tc>
          <w:tcPr>
            <w:tcW w:w="930" w:type="dxa"/>
            <w:tcBorders>
              <w:top w:val="single" w:sz="6" w:space="0" w:color="auto"/>
              <w:left w:val="single" w:sz="6" w:space="0" w:color="auto"/>
              <w:bottom w:val="single" w:sz="6" w:space="0" w:color="auto"/>
              <w:right w:val="single" w:sz="6" w:space="0" w:color="auto"/>
            </w:tcBorders>
            <w:shd w:val="clear" w:color="auto" w:fill="F7C29E"/>
            <w:vAlign w:val="bottom"/>
            <w:hideMark/>
          </w:tcPr>
          <w:p w14:paraId="3AD0D666" w14:textId="2349793A"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873</w:t>
            </w:r>
          </w:p>
        </w:tc>
        <w:tc>
          <w:tcPr>
            <w:tcW w:w="930" w:type="dxa"/>
            <w:tcBorders>
              <w:top w:val="single" w:sz="6" w:space="0" w:color="auto"/>
              <w:left w:val="single" w:sz="6" w:space="0" w:color="auto"/>
              <w:bottom w:val="single" w:sz="6" w:space="0" w:color="auto"/>
              <w:right w:val="single" w:sz="6" w:space="0" w:color="auto"/>
            </w:tcBorders>
            <w:shd w:val="clear" w:color="auto" w:fill="F6BB94"/>
            <w:vAlign w:val="bottom"/>
            <w:hideMark/>
          </w:tcPr>
          <w:p w14:paraId="78BDC9D0" w14:textId="54BC6D07"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903</w:t>
            </w:r>
          </w:p>
        </w:tc>
        <w:tc>
          <w:tcPr>
            <w:tcW w:w="930" w:type="dxa"/>
            <w:tcBorders>
              <w:top w:val="single" w:sz="6" w:space="0" w:color="auto"/>
              <w:left w:val="single" w:sz="6" w:space="0" w:color="auto"/>
              <w:bottom w:val="single" w:sz="6" w:space="0" w:color="auto"/>
              <w:right w:val="single" w:sz="6" w:space="0" w:color="auto"/>
            </w:tcBorders>
            <w:shd w:val="clear" w:color="auto" w:fill="F3A671"/>
            <w:vAlign w:val="bottom"/>
            <w:hideMark/>
          </w:tcPr>
          <w:p w14:paraId="23F42AB3" w14:textId="5BAF7FE8"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1000</w:t>
            </w:r>
          </w:p>
        </w:tc>
        <w:tc>
          <w:tcPr>
            <w:tcW w:w="945" w:type="dxa"/>
            <w:tcBorders>
              <w:top w:val="single" w:sz="6" w:space="0" w:color="auto"/>
              <w:left w:val="single" w:sz="6" w:space="0" w:color="auto"/>
              <w:bottom w:val="single" w:sz="6" w:space="0" w:color="auto"/>
              <w:right w:val="single" w:sz="6" w:space="0" w:color="auto"/>
            </w:tcBorders>
            <w:shd w:val="clear" w:color="auto" w:fill="F8C7A6"/>
            <w:vAlign w:val="bottom"/>
            <w:hideMark/>
          </w:tcPr>
          <w:p w14:paraId="6916CB7F" w14:textId="76CAC35D"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850</w:t>
            </w:r>
          </w:p>
        </w:tc>
        <w:tc>
          <w:tcPr>
            <w:tcW w:w="930" w:type="dxa"/>
            <w:tcBorders>
              <w:top w:val="nil"/>
              <w:left w:val="single" w:sz="6" w:space="0" w:color="auto"/>
              <w:bottom w:val="nil"/>
              <w:right w:val="nil"/>
            </w:tcBorders>
            <w:shd w:val="clear" w:color="auto" w:fill="auto"/>
            <w:vAlign w:val="bottom"/>
            <w:hideMark/>
          </w:tcPr>
          <w:p w14:paraId="2A89C95D" w14:textId="5BB5D00D"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shd w:val="clear" w:color="auto" w:fill="EE843C"/>
            <w:vAlign w:val="bottom"/>
            <w:hideMark/>
          </w:tcPr>
          <w:p w14:paraId="02FEC2CA" w14:textId="68FB79EE"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474</w:t>
            </w:r>
          </w:p>
        </w:tc>
        <w:tc>
          <w:tcPr>
            <w:tcW w:w="930" w:type="dxa"/>
            <w:tcBorders>
              <w:top w:val="single" w:sz="6" w:space="0" w:color="auto"/>
              <w:left w:val="single" w:sz="6" w:space="0" w:color="auto"/>
              <w:bottom w:val="single" w:sz="6" w:space="0" w:color="auto"/>
              <w:right w:val="single" w:sz="6" w:space="0" w:color="auto"/>
            </w:tcBorders>
            <w:shd w:val="clear" w:color="auto" w:fill="F3A36D"/>
            <w:vAlign w:val="bottom"/>
            <w:hideMark/>
          </w:tcPr>
          <w:p w14:paraId="0283763C" w14:textId="12819F4B"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372</w:t>
            </w:r>
          </w:p>
        </w:tc>
        <w:tc>
          <w:tcPr>
            <w:tcW w:w="930" w:type="dxa"/>
            <w:tcBorders>
              <w:top w:val="single" w:sz="6" w:space="0" w:color="auto"/>
              <w:left w:val="single" w:sz="6" w:space="0" w:color="auto"/>
              <w:bottom w:val="single" w:sz="6" w:space="0" w:color="auto"/>
              <w:right w:val="single" w:sz="6" w:space="0" w:color="auto"/>
            </w:tcBorders>
            <w:shd w:val="clear" w:color="auto" w:fill="F29E65"/>
            <w:vAlign w:val="bottom"/>
            <w:hideMark/>
          </w:tcPr>
          <w:p w14:paraId="085B8DC8" w14:textId="11C8AF14"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389</w:t>
            </w:r>
          </w:p>
        </w:tc>
        <w:tc>
          <w:tcPr>
            <w:tcW w:w="945" w:type="dxa"/>
            <w:tcBorders>
              <w:top w:val="single" w:sz="6" w:space="0" w:color="auto"/>
              <w:left w:val="single" w:sz="6" w:space="0" w:color="auto"/>
              <w:bottom w:val="single" w:sz="6" w:space="0" w:color="auto"/>
              <w:right w:val="single" w:sz="6" w:space="0" w:color="auto"/>
            </w:tcBorders>
            <w:shd w:val="clear" w:color="auto" w:fill="F3A672"/>
            <w:vAlign w:val="bottom"/>
            <w:hideMark/>
          </w:tcPr>
          <w:p w14:paraId="3B5ADBB0" w14:textId="5AF159E5" w:rsidR="00A60E2D" w:rsidRPr="00A60E2D" w:rsidRDefault="00A60E2D" w:rsidP="00A60E2D">
            <w:pPr>
              <w:spacing w:after="0" w:line="240" w:lineRule="auto"/>
              <w:jc w:val="center"/>
              <w:textAlignment w:val="baseline"/>
              <w:rPr>
                <w:rFonts w:ascii="Times New Roman" w:eastAsia="Times New Roman" w:hAnsi="Times New Roman" w:cs="Times New Roman"/>
                <w:sz w:val="24"/>
                <w:szCs w:val="24"/>
              </w:rPr>
            </w:pPr>
            <w:r w:rsidRPr="00A60E2D">
              <w:rPr>
                <w:rFonts w:ascii="Calibri" w:eastAsia="Times New Roman" w:hAnsi="Calibri" w:cs="Calibri"/>
                <w:color w:val="000000"/>
              </w:rPr>
              <w:t>362</w:t>
            </w:r>
          </w:p>
        </w:tc>
      </w:tr>
    </w:tbl>
    <w:p w14:paraId="5C2E37B3" w14:textId="77777777" w:rsidR="00A60E2D" w:rsidRPr="00A60E2D" w:rsidRDefault="00A60E2D" w:rsidP="00A60E2D">
      <w:pPr>
        <w:spacing w:after="0" w:line="240" w:lineRule="auto"/>
        <w:textAlignment w:val="baseline"/>
        <w:rPr>
          <w:rFonts w:ascii="Segoe UI" w:eastAsia="Times New Roman" w:hAnsi="Segoe UI" w:cs="Segoe UI"/>
          <w:sz w:val="18"/>
          <w:szCs w:val="18"/>
        </w:rPr>
      </w:pPr>
      <w:r w:rsidRPr="00A60E2D">
        <w:rPr>
          <w:rFonts w:ascii="Calibri" w:eastAsia="Times New Roman" w:hAnsi="Calibri" w:cs="Calibri"/>
        </w:rPr>
        <w:t> </w:t>
      </w:r>
    </w:p>
    <w:p w14:paraId="741BB55A" w14:textId="601AC828" w:rsidR="00A60E2D" w:rsidRPr="00A60E2D" w:rsidRDefault="00A60E2D" w:rsidP="00A60E2D">
      <w:pPr>
        <w:rPr>
          <w:rFonts w:ascii="Segoe UI" w:hAnsi="Segoe UI" w:cs="Segoe UI"/>
          <w:sz w:val="18"/>
          <w:szCs w:val="18"/>
        </w:rPr>
      </w:pPr>
      <w:r w:rsidRPr="00A60E2D">
        <w:t xml:space="preserve">Daylight contribution is often discussed as a way to increase vertical light levels to meet design recommendations, however, the </w:t>
      </w:r>
      <w:r w:rsidR="003D5FC0">
        <w:t xml:space="preserve">vertical </w:t>
      </w:r>
      <w:r w:rsidRPr="00A60E2D">
        <w:t xml:space="preserve">view positions facing the window only receive between 71 and 99 </w:t>
      </w:r>
      <w:r w:rsidR="003D5FC0">
        <w:t>l</w:t>
      </w:r>
      <w:r w:rsidRPr="00A60E2D">
        <w:t>x. This would be higher if daylight was considered, however the amount will vary throughout the day and year. When the occupant is facing the interior of the room in office layouts E and F, more than three times the amount of light is provided at the eye compared to layouts C and D, where the occupant is facing the window. Many employees in this office preferred to face the interior of the space with their backs to the windows, and the simulation results suggest that facing this direction can maximize electric light delivered to the occupants’ eyes. When the occupant is facing the window or the wall, as in office layouts A, C, and D, most of the electric light is behind the occupant, as shown in </w:t>
      </w:r>
      <w:r w:rsidRPr="00A60E2D">
        <w:fldChar w:fldCharType="begin"/>
      </w:r>
      <w:r w:rsidRPr="00A60E2D">
        <w:instrText xml:space="preserve"> REF _Ref91069752 \h </w:instrText>
      </w:r>
      <w:r>
        <w:instrText xml:space="preserve"> \* MERGEFORMAT </w:instrText>
      </w:r>
      <w:r w:rsidRPr="00A60E2D">
        <w:fldChar w:fldCharType="separate"/>
      </w:r>
      <w:r w:rsidRPr="00A60E2D">
        <w:t>Figure 11</w:t>
      </w:r>
      <w:r w:rsidRPr="00A60E2D">
        <w:fldChar w:fldCharType="end"/>
      </w:r>
      <w:r w:rsidRPr="00A60E2D">
        <w:t>. </w:t>
      </w:r>
    </w:p>
    <w:p w14:paraId="5460FF32" w14:textId="77777777" w:rsidR="00A60E2D" w:rsidRDefault="00A60E2D" w:rsidP="00A60E2D">
      <w:pPr>
        <w:keepNext/>
        <w:spacing w:after="0" w:line="240" w:lineRule="auto"/>
        <w:jc w:val="center"/>
        <w:textAlignment w:val="baseline"/>
      </w:pPr>
      <w:r w:rsidRPr="00A60E2D">
        <w:rPr>
          <w:rFonts w:ascii="Calibri" w:eastAsia="Calibri" w:hAnsi="Calibri" w:cs="Calibri"/>
          <w:noProof/>
        </w:rPr>
        <w:drawing>
          <wp:inline distT="0" distB="0" distL="0" distR="0" wp14:anchorId="68FB73DD" wp14:editId="518580B0">
            <wp:extent cx="6083419" cy="14804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7130" cy="1483794"/>
                    </a:xfrm>
                    <a:prstGeom prst="rect">
                      <a:avLst/>
                    </a:prstGeom>
                    <a:noFill/>
                    <a:ln>
                      <a:noFill/>
                    </a:ln>
                  </pic:spPr>
                </pic:pic>
              </a:graphicData>
            </a:graphic>
          </wp:inline>
        </w:drawing>
      </w:r>
    </w:p>
    <w:p w14:paraId="282AFBE7" w14:textId="655B13E4" w:rsidR="00A60E2D" w:rsidRPr="00A60E2D" w:rsidRDefault="00A60E2D" w:rsidP="00A60E2D">
      <w:pPr>
        <w:pStyle w:val="Caption"/>
        <w:rPr>
          <w:i w:val="0"/>
          <w:iCs w:val="0"/>
          <w:color w:val="auto"/>
        </w:rPr>
      </w:pPr>
      <w:bookmarkStart w:id="24" w:name="_Ref91069752"/>
      <w:bookmarkStart w:id="25" w:name="_Ref91069748"/>
      <w:r w:rsidRPr="00A60E2D">
        <w:rPr>
          <w:b/>
          <w:bCs/>
          <w:i w:val="0"/>
          <w:iCs w:val="0"/>
          <w:color w:val="auto"/>
        </w:rPr>
        <w:t xml:space="preserve">Figure </w:t>
      </w:r>
      <w:r w:rsidRPr="00A60E2D">
        <w:rPr>
          <w:b/>
          <w:bCs/>
          <w:i w:val="0"/>
          <w:iCs w:val="0"/>
          <w:color w:val="auto"/>
        </w:rPr>
        <w:fldChar w:fldCharType="begin"/>
      </w:r>
      <w:r w:rsidRPr="00A60E2D">
        <w:rPr>
          <w:b/>
          <w:bCs/>
          <w:i w:val="0"/>
          <w:iCs w:val="0"/>
          <w:color w:val="auto"/>
        </w:rPr>
        <w:instrText xml:space="preserve"> SEQ Figure \* ARABIC </w:instrText>
      </w:r>
      <w:r w:rsidRPr="00A60E2D">
        <w:rPr>
          <w:b/>
          <w:bCs/>
          <w:i w:val="0"/>
          <w:iCs w:val="0"/>
          <w:color w:val="auto"/>
        </w:rPr>
        <w:fldChar w:fldCharType="separate"/>
      </w:r>
      <w:r>
        <w:rPr>
          <w:b/>
          <w:bCs/>
          <w:i w:val="0"/>
          <w:iCs w:val="0"/>
          <w:noProof/>
          <w:color w:val="auto"/>
        </w:rPr>
        <w:t>11</w:t>
      </w:r>
      <w:r w:rsidRPr="00A60E2D">
        <w:rPr>
          <w:b/>
          <w:bCs/>
          <w:i w:val="0"/>
          <w:iCs w:val="0"/>
          <w:color w:val="auto"/>
        </w:rPr>
        <w:fldChar w:fldCharType="end"/>
      </w:r>
      <w:bookmarkEnd w:id="24"/>
      <w:r w:rsidRPr="00A60E2D">
        <w:rPr>
          <w:b/>
          <w:bCs/>
          <w:i w:val="0"/>
          <w:iCs w:val="0"/>
          <w:color w:val="auto"/>
        </w:rPr>
        <w:t>.</w:t>
      </w:r>
      <w:r w:rsidRPr="00A60E2D">
        <w:rPr>
          <w:rFonts w:ascii="Calibri" w:eastAsia="Times New Roman" w:hAnsi="Calibri" w:cs="Calibri"/>
          <w:b/>
          <w:bCs/>
          <w:i w:val="0"/>
          <w:iCs w:val="0"/>
          <w:color w:val="auto"/>
        </w:rPr>
        <w:t xml:space="preserve"> Comparison of different view directions at 3500 K in the private offices. </w:t>
      </w:r>
      <w:r w:rsidRPr="00A60E2D">
        <w:rPr>
          <w:rFonts w:ascii="Calibri" w:eastAsia="Times New Roman" w:hAnsi="Calibri" w:cs="Calibri"/>
          <w:i w:val="0"/>
          <w:iCs w:val="0"/>
          <w:color w:val="auto"/>
        </w:rPr>
        <w:t>Electric light contribution is maximized for this lighting layout when the occupant is facing the interior of the room (E) and is minimized when the occupant is facing the window (D). Although the size of the private office can limit furniture placement, both daylight and electric light could be leveraged in office layout A.</w:t>
      </w:r>
      <w:bookmarkEnd w:id="25"/>
    </w:p>
    <w:p w14:paraId="66092A0A" w14:textId="7695300B" w:rsidR="00A60E2D" w:rsidRPr="00A60E2D" w:rsidRDefault="00A60E2D" w:rsidP="00A60E2D">
      <w:pPr>
        <w:spacing w:after="0" w:line="240" w:lineRule="auto"/>
        <w:jc w:val="center"/>
        <w:textAlignment w:val="baseline"/>
        <w:rPr>
          <w:rFonts w:ascii="Segoe UI" w:eastAsia="Times New Roman" w:hAnsi="Segoe UI" w:cs="Segoe UI"/>
          <w:sz w:val="18"/>
          <w:szCs w:val="18"/>
        </w:rPr>
      </w:pPr>
      <w:r w:rsidRPr="00A60E2D">
        <w:rPr>
          <w:rFonts w:ascii="Calibri" w:eastAsia="Times New Roman" w:hAnsi="Calibri" w:cs="Calibri"/>
        </w:rPr>
        <w:t> </w:t>
      </w:r>
    </w:p>
    <w:p w14:paraId="4B85172D" w14:textId="2C1BF7AF" w:rsidR="00A60E2D" w:rsidRPr="00A60E2D" w:rsidRDefault="00A60E2D" w:rsidP="00A60E2D">
      <w:pPr>
        <w:rPr>
          <w:rFonts w:ascii="Segoe UI" w:hAnsi="Segoe UI" w:cs="Segoe UI"/>
          <w:sz w:val="18"/>
          <w:szCs w:val="18"/>
        </w:rPr>
      </w:pPr>
      <w:r w:rsidRPr="00A60E2D">
        <w:t>Of the 24 private office simulations across the tunable lighting range, 1</w:t>
      </w:r>
      <w:r w:rsidR="00F35D34">
        <w:t>5</w:t>
      </w:r>
      <w:r w:rsidRPr="00A60E2D">
        <w:t xml:space="preserve"> scenarios satisfy the 1-point WELL </w:t>
      </w:r>
      <w:r w:rsidR="003D5FC0">
        <w:t xml:space="preserve">EML </w:t>
      </w:r>
      <w:r w:rsidRPr="00A60E2D">
        <w:t xml:space="preserve">recommendation of 150 </w:t>
      </w:r>
      <w:r w:rsidR="003D5FC0">
        <w:t>m-lux</w:t>
      </w:r>
      <w:r w:rsidRPr="00A60E2D">
        <w:t xml:space="preserve">, </w:t>
      </w:r>
      <w:r w:rsidR="00F35D34">
        <w:t>5</w:t>
      </w:r>
      <w:r w:rsidRPr="00A60E2D">
        <w:t xml:space="preserve"> scenario satisfies the</w:t>
      </w:r>
      <w:r w:rsidR="00A86E4A">
        <w:t xml:space="preserve"> original</w:t>
      </w:r>
      <w:r w:rsidRPr="00A60E2D">
        <w:t xml:space="preserve"> 3-point</w:t>
      </w:r>
      <w:r w:rsidR="003D5FC0">
        <w:t xml:space="preserve"> </w:t>
      </w:r>
      <w:r w:rsidRPr="00A60E2D">
        <w:t xml:space="preserve">recommendation of 240 </w:t>
      </w:r>
      <w:r w:rsidR="003D5FC0">
        <w:t>m-lux</w:t>
      </w:r>
      <w:r w:rsidRPr="00A60E2D">
        <w:t xml:space="preserve">, and 4 scenarios satisfy the </w:t>
      </w:r>
      <w:r w:rsidR="003D5FC0">
        <w:t>updated 3-point</w:t>
      </w:r>
      <w:r w:rsidRPr="00A60E2D">
        <w:t xml:space="preserve"> </w:t>
      </w:r>
      <w:r w:rsidR="003D5FC0">
        <w:t>recommendation</w:t>
      </w:r>
      <w:r w:rsidRPr="00A60E2D">
        <w:t xml:space="preserve"> of 275 </w:t>
      </w:r>
      <w:r w:rsidR="003D5FC0">
        <w:t>m-lux.</w:t>
      </w:r>
      <w:r w:rsidRPr="003D5FC0">
        <w:t> </w:t>
      </w:r>
      <w:r w:rsidR="003D5FC0" w:rsidRPr="003D5FC0">
        <w:fldChar w:fldCharType="begin"/>
      </w:r>
      <w:r w:rsidR="003D5FC0" w:rsidRPr="003D5FC0">
        <w:instrText xml:space="preserve"> REF _Ref91070064 \h </w:instrText>
      </w:r>
      <w:r w:rsidR="003D5FC0">
        <w:instrText xml:space="preserve"> \* MERGEFORMAT </w:instrText>
      </w:r>
      <w:r w:rsidR="003D5FC0" w:rsidRPr="003D5FC0">
        <w:fldChar w:fldCharType="separate"/>
      </w:r>
      <w:r w:rsidR="003D5FC0" w:rsidRPr="003D5FC0">
        <w:t>Figure 12</w:t>
      </w:r>
      <w:r w:rsidR="003D5FC0" w:rsidRPr="003D5FC0">
        <w:fldChar w:fldCharType="end"/>
      </w:r>
      <w:r w:rsidRPr="003D5FC0">
        <w:t> shows that no lighting conditions meet any design recommendations when the occupants are facing the windows. Between both layouts, the maximum EML and CS are 69 m-lux and 0.15, respectively. In the other four office layouts, the conditions only satisfy the 1-point EML and CS WELL recomm</w:t>
      </w:r>
      <w:r w:rsidRPr="00A60E2D">
        <w:t xml:space="preserve">endations at 3500 K. Occupants in office layouts B, E, and F all receive </w:t>
      </w:r>
      <w:r w:rsidR="00A86E4A">
        <w:t xml:space="preserve">an EML of </w:t>
      </w:r>
      <w:r w:rsidRPr="00A60E2D">
        <w:t xml:space="preserve">150 </w:t>
      </w:r>
      <w:r w:rsidR="00A86E4A">
        <w:t>m-lux</w:t>
      </w:r>
      <w:r w:rsidRPr="00A60E2D">
        <w:t xml:space="preserve"> or greater regardless of the color temperature and view direction. Results for CS are similar, however none of the office layouts satisfy the recommendation of 0.3 or greater at 4000 K. Office layouts E and F have the highest metric values overall, with an average EML of 250 m-lux and an average CS of 0.33. </w:t>
      </w:r>
    </w:p>
    <w:p w14:paraId="168BB28D" w14:textId="77777777" w:rsidR="00A60E2D" w:rsidRPr="00A60E2D" w:rsidRDefault="00A60E2D" w:rsidP="00A60E2D">
      <w:pPr>
        <w:keepNext/>
        <w:spacing w:after="0" w:line="240" w:lineRule="auto"/>
        <w:jc w:val="center"/>
        <w:textAlignment w:val="baseline"/>
        <w:rPr>
          <w:b/>
          <w:bCs/>
        </w:rPr>
      </w:pPr>
      <w:r w:rsidRPr="00A60E2D">
        <w:rPr>
          <w:rFonts w:ascii="Calibri" w:eastAsia="Calibri" w:hAnsi="Calibri" w:cs="Calibri"/>
          <w:b/>
          <w:bCs/>
          <w:noProof/>
        </w:rPr>
        <w:drawing>
          <wp:inline distT="0" distB="0" distL="0" distR="0" wp14:anchorId="1198D29C" wp14:editId="7C7681E5">
            <wp:extent cx="5864927" cy="265067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7613" cy="2656405"/>
                    </a:xfrm>
                    <a:prstGeom prst="rect">
                      <a:avLst/>
                    </a:prstGeom>
                    <a:noFill/>
                    <a:ln>
                      <a:noFill/>
                    </a:ln>
                  </pic:spPr>
                </pic:pic>
              </a:graphicData>
            </a:graphic>
          </wp:inline>
        </w:drawing>
      </w:r>
    </w:p>
    <w:p w14:paraId="084D93D5" w14:textId="3BE13A46" w:rsidR="00A60E2D" w:rsidRPr="00A60E2D" w:rsidRDefault="00A60E2D" w:rsidP="00A60E2D">
      <w:pPr>
        <w:pStyle w:val="Caption"/>
        <w:rPr>
          <w:b/>
          <w:bCs/>
          <w:i w:val="0"/>
          <w:iCs w:val="0"/>
          <w:color w:val="auto"/>
        </w:rPr>
      </w:pPr>
      <w:bookmarkStart w:id="26" w:name="_Ref91070064"/>
      <w:r w:rsidRPr="00A60E2D">
        <w:rPr>
          <w:b/>
          <w:bCs/>
          <w:i w:val="0"/>
          <w:iCs w:val="0"/>
          <w:color w:val="auto"/>
        </w:rPr>
        <w:t xml:space="preserve">Figure </w:t>
      </w:r>
      <w:r w:rsidRPr="00A60E2D">
        <w:rPr>
          <w:b/>
          <w:bCs/>
          <w:i w:val="0"/>
          <w:iCs w:val="0"/>
          <w:color w:val="auto"/>
        </w:rPr>
        <w:fldChar w:fldCharType="begin"/>
      </w:r>
      <w:r w:rsidRPr="00A60E2D">
        <w:rPr>
          <w:b/>
          <w:bCs/>
          <w:i w:val="0"/>
          <w:iCs w:val="0"/>
          <w:color w:val="auto"/>
        </w:rPr>
        <w:instrText xml:space="preserve"> SEQ Figure \* ARABIC </w:instrText>
      </w:r>
      <w:r w:rsidRPr="00A60E2D">
        <w:rPr>
          <w:b/>
          <w:bCs/>
          <w:i w:val="0"/>
          <w:iCs w:val="0"/>
          <w:color w:val="auto"/>
        </w:rPr>
        <w:fldChar w:fldCharType="separate"/>
      </w:r>
      <w:r w:rsidRPr="00A60E2D">
        <w:rPr>
          <w:b/>
          <w:bCs/>
          <w:i w:val="0"/>
          <w:iCs w:val="0"/>
          <w:noProof/>
          <w:color w:val="auto"/>
        </w:rPr>
        <w:t>12</w:t>
      </w:r>
      <w:r w:rsidRPr="00A60E2D">
        <w:rPr>
          <w:b/>
          <w:bCs/>
          <w:i w:val="0"/>
          <w:iCs w:val="0"/>
          <w:color w:val="auto"/>
        </w:rPr>
        <w:fldChar w:fldCharType="end"/>
      </w:r>
      <w:bookmarkEnd w:id="26"/>
      <w:r w:rsidRPr="00A60E2D">
        <w:rPr>
          <w:b/>
          <w:bCs/>
          <w:i w:val="0"/>
          <w:iCs w:val="0"/>
          <w:color w:val="auto"/>
        </w:rPr>
        <w:t>.</w:t>
      </w:r>
      <w:r w:rsidRPr="00A60E2D">
        <w:rPr>
          <w:rFonts w:ascii="Calibri" w:eastAsia="Times New Roman" w:hAnsi="Calibri" w:cs="Calibri"/>
          <w:b/>
          <w:bCs/>
          <w:i w:val="0"/>
          <w:iCs w:val="0"/>
          <w:color w:val="auto"/>
        </w:rPr>
        <w:t xml:space="preserve"> Summary of light and health metric results for the private office simulations. </w:t>
      </w:r>
      <w:r w:rsidRPr="00A60E2D">
        <w:rPr>
          <w:rFonts w:ascii="Calibri" w:eastAsia="Times New Roman" w:hAnsi="Calibri" w:cs="Calibri"/>
          <w:i w:val="0"/>
          <w:iCs w:val="0"/>
          <w:color w:val="auto"/>
        </w:rPr>
        <w:t xml:space="preserve">Layouts B, E, and F meet the </w:t>
      </w:r>
      <w:r w:rsidR="00207AF2">
        <w:rPr>
          <w:rFonts w:ascii="Calibri" w:eastAsia="Times New Roman" w:hAnsi="Calibri" w:cs="Calibri"/>
          <w:i w:val="0"/>
          <w:iCs w:val="0"/>
          <w:color w:val="auto"/>
        </w:rPr>
        <w:t>1</w:t>
      </w:r>
      <w:r w:rsidRPr="00A60E2D">
        <w:rPr>
          <w:rFonts w:ascii="Calibri" w:eastAsia="Times New Roman" w:hAnsi="Calibri" w:cs="Calibri"/>
          <w:i w:val="0"/>
          <w:iCs w:val="0"/>
          <w:color w:val="auto"/>
        </w:rPr>
        <w:t>recommended design targets in all cases except for 4000 K, where CS is below 0.3. The two layouts facing the window (C and D) have the lowest metric values, which are all well below the recommended design targets.</w:t>
      </w:r>
      <w:r w:rsidRPr="00A60E2D">
        <w:rPr>
          <w:rFonts w:ascii="Calibri" w:eastAsia="Times New Roman" w:hAnsi="Calibri" w:cs="Calibri"/>
          <w:b/>
          <w:bCs/>
          <w:i w:val="0"/>
          <w:iCs w:val="0"/>
          <w:color w:val="auto"/>
        </w:rPr>
        <w:t> </w:t>
      </w:r>
    </w:p>
    <w:p w14:paraId="139C0BCB" w14:textId="3B3F55E5" w:rsidR="00F95E79" w:rsidRDefault="0426BF40" w:rsidP="4D4A2748">
      <w:pPr>
        <w:pStyle w:val="Heading3"/>
        <w:rPr>
          <w:rFonts w:ascii="Calibri Light" w:hAnsi="Calibri Light"/>
          <w:color w:val="1F3763"/>
        </w:rPr>
      </w:pPr>
      <w:r>
        <w:t xml:space="preserve">Storage </w:t>
      </w:r>
      <w:r w:rsidR="491FD0B5">
        <w:t>Space</w:t>
      </w:r>
      <w:r>
        <w:t xml:space="preserve"> Simulation Comparison</w:t>
      </w:r>
      <w:r w:rsidR="4D48F58C">
        <w:t>s</w:t>
      </w:r>
      <w:r>
        <w:t xml:space="preserve"> </w:t>
      </w:r>
    </w:p>
    <w:p w14:paraId="0E12AB14" w14:textId="4BCE39E2" w:rsidR="0426BF40" w:rsidRDefault="27C61343" w:rsidP="0426BF40">
      <w:pPr>
        <w:spacing w:line="257" w:lineRule="auto"/>
      </w:pPr>
      <w:r w:rsidRPr="27C61343">
        <w:rPr>
          <w:rFonts w:ascii="Calibri" w:eastAsia="Calibri" w:hAnsi="Calibri" w:cs="Calibri"/>
        </w:rPr>
        <w:t xml:space="preserve">The Department of Transportation office employees often </w:t>
      </w:r>
      <w:r w:rsidR="6C0098A6" w:rsidRPr="429C6F3A">
        <w:rPr>
          <w:rFonts w:ascii="Calibri" w:eastAsia="Calibri" w:hAnsi="Calibri" w:cs="Calibri"/>
        </w:rPr>
        <w:t>referenced</w:t>
      </w:r>
      <w:r w:rsidRPr="27C61343">
        <w:rPr>
          <w:rFonts w:ascii="Calibri" w:eastAsia="Calibri" w:hAnsi="Calibri" w:cs="Calibri"/>
        </w:rPr>
        <w:t xml:space="preserve"> large paper drawing sets</w:t>
      </w:r>
      <w:r w:rsidR="7BFE2AD4" w:rsidRPr="429C6F3A">
        <w:rPr>
          <w:rFonts w:ascii="Calibri" w:eastAsia="Calibri" w:hAnsi="Calibri" w:cs="Calibri"/>
        </w:rPr>
        <w:t>, so</w:t>
      </w:r>
      <w:r w:rsidRPr="27C61343">
        <w:rPr>
          <w:rFonts w:ascii="Calibri" w:eastAsia="Calibri" w:hAnsi="Calibri" w:cs="Calibri"/>
        </w:rPr>
        <w:t xml:space="preserve"> the office space included several filing and work areas where employees </w:t>
      </w:r>
      <w:r w:rsidR="17958BB3" w:rsidRPr="771ABA6E">
        <w:rPr>
          <w:rFonts w:ascii="Calibri" w:eastAsia="Calibri" w:hAnsi="Calibri" w:cs="Calibri"/>
        </w:rPr>
        <w:t>accessed and</w:t>
      </w:r>
      <w:r w:rsidRPr="771ABA6E">
        <w:rPr>
          <w:rFonts w:ascii="Calibri" w:eastAsia="Calibri" w:hAnsi="Calibri" w:cs="Calibri"/>
        </w:rPr>
        <w:t xml:space="preserve"> view</w:t>
      </w:r>
      <w:r w:rsidR="12C258D4" w:rsidRPr="771ABA6E">
        <w:rPr>
          <w:rFonts w:ascii="Calibri" w:eastAsia="Calibri" w:hAnsi="Calibri" w:cs="Calibri"/>
        </w:rPr>
        <w:t>ed</w:t>
      </w:r>
      <w:r w:rsidRPr="771ABA6E">
        <w:rPr>
          <w:rFonts w:ascii="Calibri" w:eastAsia="Calibri" w:hAnsi="Calibri" w:cs="Calibri"/>
        </w:rPr>
        <w:t xml:space="preserve"> </w:t>
      </w:r>
      <w:r w:rsidR="33237519" w:rsidRPr="771ABA6E">
        <w:rPr>
          <w:rFonts w:ascii="Calibri" w:eastAsia="Calibri" w:hAnsi="Calibri" w:cs="Calibri"/>
        </w:rPr>
        <w:t>stored</w:t>
      </w:r>
      <w:r w:rsidRPr="27C61343">
        <w:rPr>
          <w:rFonts w:ascii="Calibri" w:eastAsia="Calibri" w:hAnsi="Calibri" w:cs="Calibri"/>
        </w:rPr>
        <w:t xml:space="preserve"> drawings. While there </w:t>
      </w:r>
      <w:r w:rsidR="27FE05E1" w:rsidRPr="771ABA6E">
        <w:rPr>
          <w:rFonts w:ascii="Calibri" w:eastAsia="Calibri" w:hAnsi="Calibri" w:cs="Calibri"/>
        </w:rPr>
        <w:t>were</w:t>
      </w:r>
      <w:r w:rsidRPr="27C61343">
        <w:rPr>
          <w:rFonts w:ascii="Calibri" w:eastAsia="Calibri" w:hAnsi="Calibri" w:cs="Calibri"/>
        </w:rPr>
        <w:t xml:space="preserve"> no primary workstations located in these spaces, employees </w:t>
      </w:r>
      <w:r w:rsidR="4A02B614" w:rsidRPr="429C6F3A">
        <w:rPr>
          <w:rFonts w:ascii="Calibri" w:eastAsia="Calibri" w:hAnsi="Calibri" w:cs="Calibri"/>
        </w:rPr>
        <w:t>could</w:t>
      </w:r>
      <w:r w:rsidRPr="27C61343">
        <w:rPr>
          <w:rFonts w:ascii="Calibri" w:eastAsia="Calibri" w:hAnsi="Calibri" w:cs="Calibri"/>
        </w:rPr>
        <w:t xml:space="preserve"> spend </w:t>
      </w:r>
      <w:r w:rsidR="3EBCFA1C" w:rsidRPr="771ABA6E">
        <w:rPr>
          <w:rFonts w:ascii="Calibri" w:eastAsia="Calibri" w:hAnsi="Calibri" w:cs="Calibri"/>
        </w:rPr>
        <w:t>considerable</w:t>
      </w:r>
      <w:r w:rsidRPr="27C61343">
        <w:rPr>
          <w:rFonts w:ascii="Calibri" w:eastAsia="Calibri" w:hAnsi="Calibri" w:cs="Calibri"/>
        </w:rPr>
        <w:t xml:space="preserve"> time in these spaces during the day. </w:t>
      </w:r>
      <w:r w:rsidR="65206BB1" w:rsidRPr="429C6F3A">
        <w:rPr>
          <w:rFonts w:ascii="Calibri" w:eastAsia="Calibri" w:hAnsi="Calibri" w:cs="Calibri"/>
        </w:rPr>
        <w:t xml:space="preserve">Additionally, these spaces were adjacent to open office areas, so the same luminaires were used to </w:t>
      </w:r>
      <w:r w:rsidR="388B92A4" w:rsidRPr="429C6F3A">
        <w:rPr>
          <w:rFonts w:ascii="Calibri" w:eastAsia="Calibri" w:hAnsi="Calibri" w:cs="Calibri"/>
        </w:rPr>
        <w:t>provide</w:t>
      </w:r>
      <w:r w:rsidRPr="27C61343">
        <w:rPr>
          <w:rFonts w:ascii="Calibri" w:eastAsia="Calibri" w:hAnsi="Calibri" w:cs="Calibri"/>
        </w:rPr>
        <w:t xml:space="preserve"> a cohesive visual environment. This included </w:t>
      </w:r>
      <w:r w:rsidR="003A4F9A">
        <w:rPr>
          <w:rFonts w:ascii="Calibri" w:eastAsia="Calibri" w:hAnsi="Calibri" w:cs="Calibri"/>
        </w:rPr>
        <w:t xml:space="preserve">asymmetric </w:t>
      </w:r>
      <w:r w:rsidRPr="27C61343">
        <w:rPr>
          <w:rFonts w:ascii="Calibri" w:eastAsia="Calibri" w:hAnsi="Calibri" w:cs="Calibri"/>
        </w:rPr>
        <w:t>wall wash luminaires t</w:t>
      </w:r>
      <w:r w:rsidR="003A4F9A">
        <w:rPr>
          <w:rFonts w:ascii="Calibri" w:eastAsia="Calibri" w:hAnsi="Calibri" w:cs="Calibri"/>
        </w:rPr>
        <w:t>hat</w:t>
      </w:r>
      <w:r w:rsidRPr="27C61343">
        <w:rPr>
          <w:rFonts w:ascii="Calibri" w:eastAsia="Calibri" w:hAnsi="Calibri" w:cs="Calibri"/>
        </w:rPr>
        <w:t xml:space="preserve"> illuminate</w:t>
      </w:r>
      <w:r w:rsidR="003A4F9A">
        <w:rPr>
          <w:rFonts w:ascii="Calibri" w:eastAsia="Calibri" w:hAnsi="Calibri" w:cs="Calibri"/>
        </w:rPr>
        <w:t>d</w:t>
      </w:r>
      <w:r w:rsidRPr="27C61343">
        <w:rPr>
          <w:rFonts w:ascii="Calibri" w:eastAsia="Calibri" w:hAnsi="Calibri" w:cs="Calibri"/>
        </w:rPr>
        <w:t xml:space="preserve"> the vertical surfaces of the filing cabinets around the perimeter of the room, as well as direct recessed luminaires t</w:t>
      </w:r>
      <w:r w:rsidR="005D1515">
        <w:rPr>
          <w:rFonts w:ascii="Calibri" w:eastAsia="Calibri" w:hAnsi="Calibri" w:cs="Calibri"/>
        </w:rPr>
        <w:t>hat</w:t>
      </w:r>
      <w:r w:rsidRPr="27C61343">
        <w:rPr>
          <w:rFonts w:ascii="Calibri" w:eastAsia="Calibri" w:hAnsi="Calibri" w:cs="Calibri"/>
        </w:rPr>
        <w:t xml:space="preserve"> provide</w:t>
      </w:r>
      <w:r w:rsidR="005D1515">
        <w:rPr>
          <w:rFonts w:ascii="Calibri" w:eastAsia="Calibri" w:hAnsi="Calibri" w:cs="Calibri"/>
        </w:rPr>
        <w:t>d</w:t>
      </w:r>
      <w:r w:rsidRPr="27C61343">
        <w:rPr>
          <w:rFonts w:ascii="Calibri" w:eastAsia="Calibri" w:hAnsi="Calibri" w:cs="Calibri"/>
        </w:rPr>
        <w:t xml:space="preserve"> task plane illuminance on tables along the center of the room. </w:t>
      </w:r>
    </w:p>
    <w:p w14:paraId="567CD6FE" w14:textId="662E6FF0" w:rsidR="0426BF40" w:rsidRPr="003D5FC0" w:rsidRDefault="33320FFD" w:rsidP="0426BF40">
      <w:pPr>
        <w:spacing w:line="257" w:lineRule="auto"/>
      </w:pPr>
      <w:r w:rsidRPr="33320FFD">
        <w:rPr>
          <w:rFonts w:ascii="Calibri" w:eastAsia="Calibri" w:hAnsi="Calibri" w:cs="Calibri"/>
        </w:rPr>
        <w:t xml:space="preserve">The simulations show that the average illuminance delivered to the task plane </w:t>
      </w:r>
      <w:r w:rsidR="7F879A13" w:rsidRPr="429C6F3A">
        <w:rPr>
          <w:rFonts w:ascii="Calibri" w:eastAsia="Calibri" w:hAnsi="Calibri" w:cs="Calibri"/>
        </w:rPr>
        <w:t>(30” AFF)</w:t>
      </w:r>
      <w:r w:rsidR="305ACBB5" w:rsidRPr="429C6F3A">
        <w:rPr>
          <w:rFonts w:ascii="Calibri" w:eastAsia="Calibri" w:hAnsi="Calibri" w:cs="Calibri"/>
        </w:rPr>
        <w:t xml:space="preserve"> </w:t>
      </w:r>
      <w:r w:rsidRPr="33320FFD">
        <w:rPr>
          <w:rFonts w:ascii="Calibri" w:eastAsia="Calibri" w:hAnsi="Calibri" w:cs="Calibri"/>
        </w:rPr>
        <w:t xml:space="preserve">in </w:t>
      </w:r>
      <w:r w:rsidR="3C97B63C" w:rsidRPr="429C6F3A">
        <w:rPr>
          <w:rFonts w:ascii="Calibri" w:eastAsia="Calibri" w:hAnsi="Calibri" w:cs="Calibri"/>
        </w:rPr>
        <w:t>the</w:t>
      </w:r>
      <w:r w:rsidRPr="33320FFD">
        <w:rPr>
          <w:rFonts w:ascii="Calibri" w:eastAsia="Calibri" w:hAnsi="Calibri" w:cs="Calibri"/>
        </w:rPr>
        <w:t xml:space="preserve"> storage rooms was </w:t>
      </w:r>
      <w:r w:rsidRPr="003D5FC0">
        <w:t>just over 1000 lux. Although this is much greater than IES visual recommendations for storage areas, the value is only slightly lower than the other office spaces by design to avoid creating high contrast transitions between adjacent spaces</w:t>
      </w:r>
      <w:r w:rsidR="78738C1E" w:rsidRPr="003D5FC0">
        <w:t xml:space="preserve"> and due to the potential for employees to spend considerable time in these spaces</w:t>
      </w:r>
      <w:r w:rsidR="305ACBB5" w:rsidRPr="003D5FC0">
        <w:t>.</w:t>
      </w:r>
      <w:r w:rsidRPr="003D5FC0">
        <w:t xml:space="preserve"> </w:t>
      </w:r>
      <w:r w:rsidR="00A5311C" w:rsidRPr="003D5FC0">
        <w:fldChar w:fldCharType="begin"/>
      </w:r>
      <w:r w:rsidR="00A5311C" w:rsidRPr="003D5FC0">
        <w:instrText xml:space="preserve"> REF _Ref90651227 \h </w:instrText>
      </w:r>
      <w:r w:rsidR="003D5FC0">
        <w:instrText xml:space="preserve"> \* MERGEFORMAT </w:instrText>
      </w:r>
      <w:r w:rsidR="00A5311C" w:rsidRPr="003D5FC0">
        <w:fldChar w:fldCharType="separate"/>
      </w:r>
      <w:r w:rsidR="003D5FC0" w:rsidRPr="003D5FC0">
        <w:t>Figure 13</w:t>
      </w:r>
      <w:r w:rsidR="00A5311C" w:rsidRPr="003D5FC0">
        <w:fldChar w:fldCharType="end"/>
      </w:r>
      <w:r w:rsidRPr="003D5FC0">
        <w:t xml:space="preserve"> shows the simulated horizontal illuminance at 3500 K, ranging from 680 to 1553 lx. In each room, the horizontal uniformity at the task plane is 1.2:1 average to minimum, however, the vertical uniformity at standing eye height is over 2:1 average to minimum. This is typical for office interiors, but it draws attention to the complexity of delivering consistent vertical illuminance to moving occupants compared to horizontal illuminance. According to the simulation results, when an occupant is standing in the same spot facing the work tables in the center of the room or turned around facing the filing cabinets around the perimeter of the room, the vertical illuminance simulated at the </w:t>
      </w:r>
      <w:r w:rsidR="580FF13C" w:rsidRPr="003D5FC0">
        <w:t>standing</w:t>
      </w:r>
      <w:r w:rsidR="305ACBB5" w:rsidRPr="003D5FC0">
        <w:t xml:space="preserve"> </w:t>
      </w:r>
      <w:r w:rsidRPr="003D5FC0">
        <w:t xml:space="preserve">eye position </w:t>
      </w:r>
      <w:r w:rsidR="59E2E694" w:rsidRPr="003D5FC0">
        <w:t>(63.5” AFF)</w:t>
      </w:r>
      <w:r w:rsidR="305ACBB5" w:rsidRPr="003D5FC0">
        <w:t xml:space="preserve"> </w:t>
      </w:r>
      <w:r w:rsidR="0F00DEF3" w:rsidRPr="003D5FC0">
        <w:t>ranges</w:t>
      </w:r>
      <w:r w:rsidRPr="003D5FC0">
        <w:t xml:space="preserve"> from over 650 lx to below </w:t>
      </w:r>
      <w:r w:rsidR="00A5311C" w:rsidRPr="003D5FC0">
        <w:t>30</w:t>
      </w:r>
      <w:r w:rsidRPr="003D5FC0">
        <w:t>0 lx.</w:t>
      </w:r>
    </w:p>
    <w:p w14:paraId="6743D190" w14:textId="77777777" w:rsidR="00A5311C" w:rsidRDefault="0426BF40" w:rsidP="00A5311C">
      <w:pPr>
        <w:keepNext/>
        <w:jc w:val="center"/>
      </w:pPr>
      <w:r>
        <w:rPr>
          <w:noProof/>
        </w:rPr>
        <w:drawing>
          <wp:inline distT="0" distB="0" distL="0" distR="0" wp14:anchorId="1BA93995" wp14:editId="738C86F4">
            <wp:extent cx="5734873" cy="3261231"/>
            <wp:effectExtent l="0" t="0" r="0" b="0"/>
            <wp:docPr id="646459156" name="Picture 64645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59156" name="Picture 6464591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46711" cy="3267963"/>
                    </a:xfrm>
                    <a:prstGeom prst="rect">
                      <a:avLst/>
                    </a:prstGeom>
                  </pic:spPr>
                </pic:pic>
              </a:graphicData>
            </a:graphic>
          </wp:inline>
        </w:drawing>
      </w:r>
    </w:p>
    <w:p w14:paraId="64EF6D6F" w14:textId="68940FD0" w:rsidR="0426BF40" w:rsidRPr="00295EDE" w:rsidRDefault="00A5311C" w:rsidP="002E0401">
      <w:pPr>
        <w:pStyle w:val="Caption"/>
        <w:rPr>
          <w:i w:val="0"/>
          <w:iCs w:val="0"/>
          <w:color w:val="auto"/>
        </w:rPr>
      </w:pPr>
      <w:bookmarkStart w:id="27" w:name="_Ref90651227"/>
      <w:r w:rsidRPr="00295EDE">
        <w:rPr>
          <w:b/>
          <w:bCs/>
          <w:i w:val="0"/>
          <w:iCs w:val="0"/>
          <w:color w:val="auto"/>
        </w:rPr>
        <w:t xml:space="preserve">Figure </w:t>
      </w:r>
      <w:r w:rsidRPr="00295EDE">
        <w:rPr>
          <w:b/>
          <w:bCs/>
          <w:i w:val="0"/>
          <w:iCs w:val="0"/>
          <w:color w:val="auto"/>
        </w:rPr>
        <w:fldChar w:fldCharType="begin"/>
      </w:r>
      <w:r w:rsidRPr="00295EDE">
        <w:rPr>
          <w:b/>
          <w:bCs/>
          <w:i w:val="0"/>
          <w:iCs w:val="0"/>
          <w:color w:val="auto"/>
        </w:rPr>
        <w:instrText xml:space="preserve"> SEQ Figure \* ARABIC </w:instrText>
      </w:r>
      <w:r w:rsidRPr="00295EDE">
        <w:rPr>
          <w:b/>
          <w:bCs/>
          <w:i w:val="0"/>
          <w:iCs w:val="0"/>
          <w:color w:val="auto"/>
        </w:rPr>
        <w:fldChar w:fldCharType="separate"/>
      </w:r>
      <w:r w:rsidR="00A60E2D" w:rsidRPr="00295EDE">
        <w:rPr>
          <w:b/>
          <w:bCs/>
          <w:i w:val="0"/>
          <w:iCs w:val="0"/>
          <w:noProof/>
          <w:color w:val="auto"/>
        </w:rPr>
        <w:t>13</w:t>
      </w:r>
      <w:r w:rsidRPr="00295EDE">
        <w:rPr>
          <w:b/>
          <w:bCs/>
          <w:i w:val="0"/>
          <w:iCs w:val="0"/>
          <w:color w:val="auto"/>
        </w:rPr>
        <w:fldChar w:fldCharType="end"/>
      </w:r>
      <w:bookmarkEnd w:id="27"/>
      <w:r w:rsidRPr="00295EDE">
        <w:rPr>
          <w:b/>
          <w:bCs/>
          <w:i w:val="0"/>
          <w:iCs w:val="0"/>
          <w:color w:val="auto"/>
        </w:rPr>
        <w:t xml:space="preserve">. </w:t>
      </w:r>
      <w:r w:rsidR="00E41A60" w:rsidRPr="00295EDE">
        <w:rPr>
          <w:b/>
          <w:bCs/>
          <w:i w:val="0"/>
          <w:iCs w:val="0"/>
          <w:color w:val="auto"/>
        </w:rPr>
        <w:t>Simulation results for two storage rooms.</w:t>
      </w:r>
      <w:r w:rsidR="00E41A60" w:rsidRPr="00295EDE">
        <w:rPr>
          <w:i w:val="0"/>
          <w:iCs w:val="0"/>
          <w:color w:val="auto"/>
        </w:rPr>
        <w:t xml:space="preserve"> The </w:t>
      </w:r>
      <w:r w:rsidR="00EE227A" w:rsidRPr="00295EDE">
        <w:rPr>
          <w:i w:val="0"/>
          <w:iCs w:val="0"/>
          <w:color w:val="auto"/>
        </w:rPr>
        <w:t>lighting consisted of</w:t>
      </w:r>
      <w:r w:rsidR="0072086E" w:rsidRPr="00295EDE">
        <w:rPr>
          <w:i w:val="0"/>
          <w:iCs w:val="0"/>
          <w:color w:val="auto"/>
        </w:rPr>
        <w:t xml:space="preserve"> asymmetric wall wash luminaires around the perimeter a</w:t>
      </w:r>
      <w:r w:rsidR="002E0401" w:rsidRPr="00295EDE">
        <w:rPr>
          <w:i w:val="0"/>
          <w:iCs w:val="0"/>
          <w:color w:val="auto"/>
        </w:rPr>
        <w:t xml:space="preserve">nd </w:t>
      </w:r>
      <w:r w:rsidR="0072086E" w:rsidRPr="00295EDE">
        <w:rPr>
          <w:i w:val="0"/>
          <w:iCs w:val="0"/>
          <w:color w:val="auto"/>
        </w:rPr>
        <w:t>recessed linear direct luminaires in the center of the room.</w:t>
      </w:r>
      <w:r w:rsidR="00383B16" w:rsidRPr="00295EDE">
        <w:rPr>
          <w:i w:val="0"/>
          <w:iCs w:val="0"/>
          <w:color w:val="auto"/>
        </w:rPr>
        <w:t xml:space="preserve"> Horizontal illuminance </w:t>
      </w:r>
      <w:r w:rsidR="00351349" w:rsidRPr="00295EDE">
        <w:rPr>
          <w:i w:val="0"/>
          <w:iCs w:val="0"/>
          <w:color w:val="auto"/>
        </w:rPr>
        <w:t xml:space="preserve">on the task plane </w:t>
      </w:r>
      <w:r w:rsidR="00383B16" w:rsidRPr="00295EDE">
        <w:rPr>
          <w:i w:val="0"/>
          <w:iCs w:val="0"/>
          <w:color w:val="auto"/>
        </w:rPr>
        <w:t xml:space="preserve">in each room is </w:t>
      </w:r>
      <w:r w:rsidR="00351349" w:rsidRPr="00295EDE">
        <w:rPr>
          <w:i w:val="0"/>
          <w:iCs w:val="0"/>
          <w:color w:val="auto"/>
        </w:rPr>
        <w:t>relatively uniform, while the vertical illuminance</w:t>
      </w:r>
      <w:r w:rsidR="00E22104" w:rsidRPr="00295EDE">
        <w:rPr>
          <w:i w:val="0"/>
          <w:iCs w:val="0"/>
          <w:color w:val="auto"/>
        </w:rPr>
        <w:t xml:space="preserve"> measured at standing eye height can vary greatly if the occupant is facing the tables in the middle of the room or the filing cabinets around the perimeter.</w:t>
      </w:r>
    </w:p>
    <w:p w14:paraId="1B9B27B8" w14:textId="50123077" w:rsidR="00A5311C" w:rsidRPr="00A5311C" w:rsidRDefault="15B41149" w:rsidP="15B41149">
      <w:pPr>
        <w:pStyle w:val="Heading2"/>
      </w:pPr>
      <w:r>
        <w:t>Energy Implications</w:t>
      </w:r>
    </w:p>
    <w:p w14:paraId="7A0AB715" w14:textId="11EBCC4C" w:rsidR="15B41149" w:rsidRDefault="15B41149" w:rsidP="15B41149">
      <w:pPr>
        <w:spacing w:line="257" w:lineRule="auto"/>
      </w:pPr>
      <w:r w:rsidRPr="15B41149">
        <w:rPr>
          <w:rFonts w:ascii="Calibri" w:eastAsia="Calibri" w:hAnsi="Calibri" w:cs="Calibri"/>
        </w:rPr>
        <w:t xml:space="preserve">Energy conservation was a critical design goal set by Cook County for the Circadian Lighting Pilot Project, especially since implementation of results would be incorporated into their workplace standards. As a permanently installed system, the project design would be required to meet local energy code requirements. In addition, while the lighting system design was not specifically targeting a LEED certification, it was planned that the final workplace standard recommendations would want to aim for high levels of sustainability goals based on the results of the study. However, preliminary design results indicated that circadian lighting goals contributed to higher energy use than a non-circadian supportive design. </w:t>
      </w:r>
    </w:p>
    <w:p w14:paraId="718C676C" w14:textId="655BC99B" w:rsidR="1B4CFE49" w:rsidRDefault="1B4CFE49" w:rsidP="33320FFD">
      <w:pPr>
        <w:spacing w:line="257" w:lineRule="auto"/>
        <w:rPr>
          <w:rFonts w:ascii="Calibri" w:eastAsia="Calibri" w:hAnsi="Calibri" w:cs="Calibri"/>
        </w:rPr>
      </w:pPr>
      <w:r w:rsidRPr="33320FFD">
        <w:rPr>
          <w:rFonts w:ascii="Calibri" w:eastAsia="Calibri" w:hAnsi="Calibri" w:cs="Calibri"/>
        </w:rPr>
        <w:t>In 2019, the city of Chicago adopted new building codes based on the International Building Code and other model construction codes published by the International Code Council in alignment with other major cities in the US. The city is one year away from completing a seven-year construction code modernization effort that focused on increasing consistency and alignment of construction codes to promote sustainable and energy efficient design practices as well as reduce the administrative load on users. The first phase of the modernization effort focused on updating the existing Chicago Electrical Code, and the second phase expanded those efforts to the core construction codes which now include energy conservation measures that are based on the 2018 International Energy Conservation Code (IECC).</w:t>
      </w:r>
    </w:p>
    <w:p w14:paraId="6EFDA1B4" w14:textId="2ABE4857" w:rsidR="33320FFD" w:rsidRDefault="15B41149" w:rsidP="33320FFD">
      <w:pPr>
        <w:spacing w:line="257" w:lineRule="auto"/>
        <w:rPr>
          <w:rFonts w:ascii="Calibri" w:eastAsia="Calibri" w:hAnsi="Calibri" w:cs="Calibri"/>
        </w:rPr>
      </w:pPr>
      <w:r w:rsidRPr="15B41149">
        <w:rPr>
          <w:rFonts w:ascii="Calibri" w:eastAsia="Calibri" w:hAnsi="Calibri" w:cs="Calibri"/>
        </w:rPr>
        <w:t>The design team studied compliance under the IECC-2018 energy code which provides requirements for lighting system controls and maximum power allowances. There are two paths for compliance: the Building Area Method or the Space-by-Space Method. Generally, using the Space-by-Space method may provide greater flexibility given the specificity of each listed space type. Although the Building Area Method is more straightforward, utilizing the Space-by-Space Method will often slightly increase the maximum power allowance depending on the specific space type allocation, as well as provide additional allowances for specific applications. In this case, the Building Area Method allows 11,643 W for the 23</w:t>
      </w:r>
      <w:r w:rsidRPr="15B41149">
        <w:rPr>
          <w:rFonts w:ascii="Calibri" w:eastAsia="Calibri" w:hAnsi="Calibri" w:cs="Calibri"/>
          <w:vertAlign w:val="superscript"/>
        </w:rPr>
        <w:t>rd</w:t>
      </w:r>
      <w:r w:rsidRPr="15B41149">
        <w:rPr>
          <w:rFonts w:ascii="Calibri" w:eastAsia="Calibri" w:hAnsi="Calibri" w:cs="Calibri"/>
        </w:rPr>
        <w:t xml:space="preserve"> floor, while the Space-by-Space Method allows 11,643 W, just 54 W more than the Building Area Method.</w:t>
      </w:r>
    </w:p>
    <w:p w14:paraId="60DE2BB5" w14:textId="279CC7F8" w:rsidR="1B4CFE49" w:rsidRDefault="15B41149" w:rsidP="33320FFD">
      <w:pPr>
        <w:spacing w:line="257" w:lineRule="auto"/>
        <w:rPr>
          <w:rFonts w:ascii="Calibri" w:eastAsia="Calibri" w:hAnsi="Calibri" w:cs="Calibri"/>
        </w:rPr>
      </w:pPr>
      <w:r w:rsidRPr="15B41149">
        <w:rPr>
          <w:rFonts w:ascii="Calibri" w:eastAsia="Calibri" w:hAnsi="Calibri" w:cs="Calibri"/>
        </w:rPr>
        <w:t>At the conclusion of the Design Development phase, the total connected load on the 23</w:t>
      </w:r>
      <w:r w:rsidRPr="15B41149">
        <w:rPr>
          <w:rFonts w:ascii="Calibri" w:eastAsia="Calibri" w:hAnsi="Calibri" w:cs="Calibri"/>
          <w:vertAlign w:val="superscript"/>
        </w:rPr>
        <w:t>rd</w:t>
      </w:r>
      <w:r w:rsidRPr="15B41149">
        <w:rPr>
          <w:rFonts w:ascii="Calibri" w:eastAsia="Calibri" w:hAnsi="Calibri" w:cs="Calibri"/>
        </w:rPr>
        <w:t xml:space="preserve"> floor was 15,853 W, or 4,210 W above code compliance. The 2018 IECC Space-by-Space method does allow for tradeoff between space types, like ASHRAE/ANSI/IES Standard 90.1, and also provides flexibility to designers using furniture mounted supplemental task lighting as well as decorative lighting when it is controlled separately from the general lighting. The summary </w:t>
      </w:r>
      <w:r w:rsidRPr="007841E3">
        <w:t xml:space="preserve">provided in </w:t>
      </w:r>
      <w:r w:rsidR="007841E3" w:rsidRPr="007841E3">
        <w:fldChar w:fldCharType="begin"/>
      </w:r>
      <w:r w:rsidR="007841E3" w:rsidRPr="007841E3">
        <w:instrText xml:space="preserve"> REF _Ref91063776 \h  \* MERGEFORMAT </w:instrText>
      </w:r>
      <w:r w:rsidR="007841E3" w:rsidRPr="007841E3">
        <w:fldChar w:fldCharType="separate"/>
      </w:r>
      <w:r w:rsidR="003D5FC0" w:rsidRPr="003D5FC0">
        <w:t>Table 5</w:t>
      </w:r>
      <w:r w:rsidR="007841E3" w:rsidRPr="007841E3">
        <w:fldChar w:fldCharType="end"/>
      </w:r>
      <w:r w:rsidR="007841E3" w:rsidRPr="007841E3">
        <w:t xml:space="preserve"> </w:t>
      </w:r>
      <w:r w:rsidRPr="007841E3">
        <w:t>shows that the design had roughly 300 W to spare in the conference rooms, but was above the allowable</w:t>
      </w:r>
      <w:r w:rsidRPr="15B41149">
        <w:rPr>
          <w:rFonts w:ascii="Calibri" w:eastAsia="Calibri" w:hAnsi="Calibri" w:cs="Calibri"/>
        </w:rPr>
        <w:t xml:space="preserve"> wattage in all other space types. Although Standard 90.1 is not applicable by Chicago codes, as a point of comparison, the 2018 IECC wattage allowances are higher than Standard 90.1 2019 in all space types.</w:t>
      </w:r>
    </w:p>
    <w:p w14:paraId="2CB507A5" w14:textId="1BD3D5AC" w:rsidR="007841E3" w:rsidRDefault="007841E3" w:rsidP="007841E3">
      <w:pPr>
        <w:pStyle w:val="CommentText"/>
      </w:pPr>
      <w:bookmarkStart w:id="28" w:name="_Ref91063776"/>
      <w:r w:rsidRPr="007841E3">
        <w:rPr>
          <w:b/>
          <w:bCs/>
        </w:rPr>
        <w:t xml:space="preserve">Table </w:t>
      </w:r>
      <w:r w:rsidRPr="007841E3">
        <w:rPr>
          <w:b/>
          <w:bCs/>
        </w:rPr>
        <w:fldChar w:fldCharType="begin"/>
      </w:r>
      <w:r w:rsidRPr="007841E3">
        <w:rPr>
          <w:b/>
          <w:bCs/>
        </w:rPr>
        <w:instrText xml:space="preserve"> SEQ Table \* ARABIC </w:instrText>
      </w:r>
      <w:r w:rsidRPr="007841E3">
        <w:rPr>
          <w:b/>
          <w:bCs/>
        </w:rPr>
        <w:fldChar w:fldCharType="separate"/>
      </w:r>
      <w:r w:rsidR="003D5FC0">
        <w:rPr>
          <w:b/>
          <w:bCs/>
          <w:noProof/>
        </w:rPr>
        <w:t>5</w:t>
      </w:r>
      <w:r w:rsidRPr="007841E3">
        <w:rPr>
          <w:b/>
          <w:bCs/>
        </w:rPr>
        <w:fldChar w:fldCharType="end"/>
      </w:r>
      <w:bookmarkEnd w:id="28"/>
      <w:r w:rsidRPr="007841E3">
        <w:rPr>
          <w:b/>
          <w:bCs/>
        </w:rPr>
        <w:t>. IECC 2018 interior wattage allowance and connected load for the 23rd floor.</w:t>
      </w:r>
      <w:r>
        <w:t xml:space="preserve"> The total allowable wattage is slightly higher for the Space-by-Space Method, however the designed connected load not considering any decorative wattage allowances exceeded the allowance by 4,210 W.</w:t>
      </w:r>
      <w:r>
        <w:rPr>
          <w:rStyle w:val="CommentReference"/>
        </w:rPr>
        <w:annotationRef/>
      </w:r>
    </w:p>
    <w:tbl>
      <w:tblPr>
        <w:tblW w:w="9360" w:type="dxa"/>
        <w:tblLayout w:type="fixed"/>
        <w:tblLook w:val="04A0" w:firstRow="1" w:lastRow="0" w:firstColumn="1" w:lastColumn="0" w:noHBand="0" w:noVBand="1"/>
      </w:tblPr>
      <w:tblGrid>
        <w:gridCol w:w="4011"/>
        <w:gridCol w:w="1337"/>
        <w:gridCol w:w="1159"/>
        <w:gridCol w:w="1159"/>
        <w:gridCol w:w="1694"/>
      </w:tblGrid>
      <w:tr w:rsidR="27C61343" w14:paraId="508C6AE8"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69799DCE" w14:textId="73665E29" w:rsidR="27C61343" w:rsidRDefault="15B41149" w:rsidP="15B41149">
            <w:pPr>
              <w:rPr>
                <w:rFonts w:ascii="Calibri" w:eastAsia="Calibri" w:hAnsi="Calibri" w:cs="Calibri"/>
                <w:b/>
                <w:bCs/>
              </w:rPr>
            </w:pPr>
            <w:r w:rsidRPr="15B41149">
              <w:rPr>
                <w:rFonts w:ascii="Calibri" w:eastAsia="Calibri" w:hAnsi="Calibri" w:cs="Calibri"/>
                <w:b/>
                <w:bCs/>
              </w:rPr>
              <w:t>Space Types</w:t>
            </w:r>
          </w:p>
        </w:tc>
        <w:tc>
          <w:tcPr>
            <w:tcW w:w="1337" w:type="dxa"/>
            <w:tcBorders>
              <w:top w:val="single" w:sz="8" w:space="0" w:color="auto"/>
              <w:left w:val="single" w:sz="8" w:space="0" w:color="auto"/>
              <w:bottom w:val="single" w:sz="8" w:space="0" w:color="auto"/>
              <w:right w:val="single" w:sz="8" w:space="0" w:color="auto"/>
            </w:tcBorders>
            <w:vAlign w:val="bottom"/>
          </w:tcPr>
          <w:p w14:paraId="52D44E44" w14:textId="632C325C" w:rsidR="27C61343" w:rsidRDefault="27C61343" w:rsidP="27C61343">
            <w:pPr>
              <w:jc w:val="center"/>
            </w:pPr>
            <w:r w:rsidRPr="27C61343">
              <w:rPr>
                <w:rFonts w:ascii="Calibri" w:eastAsia="Calibri" w:hAnsi="Calibri" w:cs="Calibri"/>
                <w:b/>
                <w:bCs/>
                <w:color w:val="000000" w:themeColor="text1"/>
              </w:rPr>
              <w:t>2018 IECC Allowance (W/sq ft)</w:t>
            </w:r>
          </w:p>
        </w:tc>
        <w:tc>
          <w:tcPr>
            <w:tcW w:w="1159" w:type="dxa"/>
            <w:tcBorders>
              <w:top w:val="single" w:sz="8" w:space="0" w:color="auto"/>
              <w:left w:val="single" w:sz="8" w:space="0" w:color="auto"/>
              <w:bottom w:val="single" w:sz="8" w:space="0" w:color="auto"/>
              <w:right w:val="single" w:sz="8" w:space="0" w:color="auto"/>
            </w:tcBorders>
            <w:vAlign w:val="bottom"/>
          </w:tcPr>
          <w:p w14:paraId="1C44B14E" w14:textId="5D2CF6C0" w:rsidR="27C61343" w:rsidRDefault="27C61343" w:rsidP="27C61343">
            <w:pPr>
              <w:jc w:val="center"/>
            </w:pPr>
            <w:r w:rsidRPr="27C61343">
              <w:rPr>
                <w:rFonts w:ascii="Calibri" w:eastAsia="Calibri" w:hAnsi="Calibri" w:cs="Calibri"/>
                <w:b/>
                <w:bCs/>
                <w:color w:val="000000" w:themeColor="text1"/>
              </w:rPr>
              <w:t>Area</w:t>
            </w:r>
          </w:p>
          <w:p w14:paraId="5A38894F" w14:textId="28315CD9" w:rsidR="27C61343" w:rsidRDefault="27C61343" w:rsidP="27C61343">
            <w:pPr>
              <w:jc w:val="center"/>
            </w:pPr>
            <w:r w:rsidRPr="27C61343">
              <w:rPr>
                <w:rFonts w:ascii="Calibri" w:eastAsia="Calibri" w:hAnsi="Calibri" w:cs="Calibri"/>
                <w:b/>
                <w:bCs/>
                <w:color w:val="000000" w:themeColor="text1"/>
              </w:rPr>
              <w:t>(sq ft)</w:t>
            </w:r>
          </w:p>
        </w:tc>
        <w:tc>
          <w:tcPr>
            <w:tcW w:w="1159" w:type="dxa"/>
            <w:tcBorders>
              <w:top w:val="single" w:sz="8" w:space="0" w:color="auto"/>
              <w:left w:val="single" w:sz="8" w:space="0" w:color="auto"/>
              <w:bottom w:val="single" w:sz="8" w:space="0" w:color="auto"/>
              <w:right w:val="single" w:sz="8" w:space="0" w:color="auto"/>
            </w:tcBorders>
            <w:vAlign w:val="bottom"/>
          </w:tcPr>
          <w:p w14:paraId="2C99FE87" w14:textId="21AFD6DF" w:rsidR="27C61343" w:rsidRDefault="27C61343" w:rsidP="27C61343">
            <w:pPr>
              <w:jc w:val="center"/>
            </w:pPr>
            <w:r w:rsidRPr="27C61343">
              <w:rPr>
                <w:rFonts w:ascii="Calibri" w:eastAsia="Calibri" w:hAnsi="Calibri" w:cs="Calibri"/>
                <w:b/>
                <w:bCs/>
                <w:color w:val="000000" w:themeColor="text1"/>
              </w:rPr>
              <w:t>Allowable Wattage</w:t>
            </w:r>
          </w:p>
          <w:p w14:paraId="6F3ABCC4" w14:textId="1FF3D3A4" w:rsidR="27C61343" w:rsidRDefault="27C61343" w:rsidP="27C61343">
            <w:pPr>
              <w:jc w:val="center"/>
            </w:pPr>
            <w:r w:rsidRPr="27C61343">
              <w:rPr>
                <w:rFonts w:ascii="Calibri" w:eastAsia="Calibri" w:hAnsi="Calibri" w:cs="Calibri"/>
                <w:b/>
                <w:bCs/>
                <w:color w:val="000000" w:themeColor="text1"/>
              </w:rPr>
              <w:t>(W)</w:t>
            </w:r>
          </w:p>
        </w:tc>
        <w:tc>
          <w:tcPr>
            <w:tcW w:w="1694" w:type="dxa"/>
            <w:tcBorders>
              <w:top w:val="single" w:sz="8" w:space="0" w:color="auto"/>
              <w:left w:val="single" w:sz="8" w:space="0" w:color="auto"/>
              <w:bottom w:val="single" w:sz="8" w:space="0" w:color="auto"/>
              <w:right w:val="single" w:sz="8" w:space="0" w:color="auto"/>
            </w:tcBorders>
            <w:vAlign w:val="bottom"/>
          </w:tcPr>
          <w:p w14:paraId="46B8727D" w14:textId="6985D870" w:rsidR="27C61343" w:rsidRDefault="27C61343" w:rsidP="27C61343">
            <w:pPr>
              <w:jc w:val="center"/>
            </w:pPr>
            <w:r w:rsidRPr="27C61343">
              <w:rPr>
                <w:rFonts w:ascii="Calibri" w:eastAsia="Calibri" w:hAnsi="Calibri" w:cs="Calibri"/>
                <w:b/>
                <w:bCs/>
                <w:color w:val="000000" w:themeColor="text1"/>
              </w:rPr>
              <w:t>Connected Load</w:t>
            </w:r>
          </w:p>
          <w:p w14:paraId="30954294" w14:textId="572D4A36" w:rsidR="27C61343" w:rsidRDefault="27C61343" w:rsidP="27C61343">
            <w:pPr>
              <w:jc w:val="center"/>
            </w:pPr>
            <w:r w:rsidRPr="27C61343">
              <w:rPr>
                <w:rFonts w:ascii="Calibri" w:eastAsia="Calibri" w:hAnsi="Calibri" w:cs="Calibri"/>
                <w:b/>
                <w:bCs/>
                <w:color w:val="000000" w:themeColor="text1"/>
              </w:rPr>
              <w:t>Floor 23</w:t>
            </w:r>
          </w:p>
          <w:p w14:paraId="4271821B" w14:textId="54712DC4" w:rsidR="27C61343" w:rsidRDefault="27C61343" w:rsidP="27C61343">
            <w:pPr>
              <w:jc w:val="center"/>
            </w:pPr>
            <w:r w:rsidRPr="27C61343">
              <w:rPr>
                <w:rFonts w:ascii="Calibri" w:eastAsia="Calibri" w:hAnsi="Calibri" w:cs="Calibri"/>
                <w:b/>
                <w:bCs/>
                <w:color w:val="000000" w:themeColor="text1"/>
              </w:rPr>
              <w:t>(W)</w:t>
            </w:r>
          </w:p>
        </w:tc>
      </w:tr>
      <w:tr w:rsidR="27C61343" w14:paraId="2E76082F"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066CFB37" w14:textId="52068928" w:rsidR="27C61343" w:rsidRDefault="27C61343">
            <w:r w:rsidRPr="27C61343">
              <w:rPr>
                <w:rFonts w:ascii="Calibri" w:eastAsia="Calibri" w:hAnsi="Calibri" w:cs="Calibri"/>
                <w:color w:val="000000" w:themeColor="text1"/>
              </w:rPr>
              <w:t>Corridor</w:t>
            </w:r>
          </w:p>
        </w:tc>
        <w:tc>
          <w:tcPr>
            <w:tcW w:w="1337" w:type="dxa"/>
            <w:tcBorders>
              <w:top w:val="single" w:sz="8" w:space="0" w:color="auto"/>
              <w:left w:val="single" w:sz="8" w:space="0" w:color="auto"/>
              <w:bottom w:val="single" w:sz="8" w:space="0" w:color="auto"/>
              <w:right w:val="single" w:sz="8" w:space="0" w:color="auto"/>
            </w:tcBorders>
            <w:vAlign w:val="bottom"/>
          </w:tcPr>
          <w:p w14:paraId="30F8FC46" w14:textId="446D6E4F" w:rsidR="27C61343" w:rsidRDefault="27C61343" w:rsidP="27C61343">
            <w:pPr>
              <w:jc w:val="right"/>
            </w:pPr>
            <w:r w:rsidRPr="27C61343">
              <w:rPr>
                <w:rFonts w:ascii="Calibri" w:eastAsia="Calibri" w:hAnsi="Calibri" w:cs="Calibri"/>
                <w:color w:val="000000" w:themeColor="text1"/>
              </w:rPr>
              <w:t>0.66</w:t>
            </w:r>
          </w:p>
        </w:tc>
        <w:tc>
          <w:tcPr>
            <w:tcW w:w="1159" w:type="dxa"/>
            <w:tcBorders>
              <w:top w:val="single" w:sz="8" w:space="0" w:color="auto"/>
              <w:left w:val="single" w:sz="8" w:space="0" w:color="auto"/>
              <w:bottom w:val="single" w:sz="8" w:space="0" w:color="auto"/>
              <w:right w:val="single" w:sz="8" w:space="0" w:color="auto"/>
            </w:tcBorders>
            <w:vAlign w:val="bottom"/>
          </w:tcPr>
          <w:p w14:paraId="26F58502" w14:textId="797EE783" w:rsidR="27C61343" w:rsidRDefault="27C61343" w:rsidP="27C61343">
            <w:pPr>
              <w:jc w:val="right"/>
            </w:pPr>
            <w:r w:rsidRPr="27C61343">
              <w:rPr>
                <w:rFonts w:ascii="Calibri" w:eastAsia="Calibri" w:hAnsi="Calibri" w:cs="Calibri"/>
                <w:color w:val="000000" w:themeColor="text1"/>
              </w:rPr>
              <w:t>2206</w:t>
            </w:r>
          </w:p>
        </w:tc>
        <w:tc>
          <w:tcPr>
            <w:tcW w:w="1159" w:type="dxa"/>
            <w:tcBorders>
              <w:top w:val="single" w:sz="8" w:space="0" w:color="auto"/>
              <w:left w:val="single" w:sz="8" w:space="0" w:color="auto"/>
              <w:bottom w:val="single" w:sz="8" w:space="0" w:color="auto"/>
              <w:right w:val="single" w:sz="8" w:space="0" w:color="auto"/>
            </w:tcBorders>
            <w:vAlign w:val="bottom"/>
          </w:tcPr>
          <w:p w14:paraId="4E4A8F87" w14:textId="4E2164ED" w:rsidR="27C61343" w:rsidRDefault="27C61343" w:rsidP="27C61343">
            <w:pPr>
              <w:jc w:val="right"/>
            </w:pPr>
            <w:r w:rsidRPr="27C61343">
              <w:rPr>
                <w:rFonts w:ascii="Calibri" w:eastAsia="Calibri" w:hAnsi="Calibri" w:cs="Calibri"/>
                <w:color w:val="000000" w:themeColor="text1"/>
              </w:rPr>
              <w:t>1456</w:t>
            </w:r>
          </w:p>
        </w:tc>
        <w:tc>
          <w:tcPr>
            <w:tcW w:w="1694" w:type="dxa"/>
            <w:tcBorders>
              <w:top w:val="single" w:sz="8" w:space="0" w:color="auto"/>
              <w:left w:val="single" w:sz="8" w:space="0" w:color="auto"/>
              <w:bottom w:val="single" w:sz="8" w:space="0" w:color="auto"/>
              <w:right w:val="single" w:sz="8" w:space="0" w:color="auto"/>
            </w:tcBorders>
            <w:vAlign w:val="bottom"/>
          </w:tcPr>
          <w:p w14:paraId="053B55DD" w14:textId="0D3815CE" w:rsidR="27C61343" w:rsidRDefault="27C61343" w:rsidP="27C61343">
            <w:pPr>
              <w:jc w:val="right"/>
            </w:pPr>
            <w:r w:rsidRPr="27C61343">
              <w:rPr>
                <w:rFonts w:ascii="Calibri" w:eastAsia="Calibri" w:hAnsi="Calibri" w:cs="Calibri"/>
                <w:color w:val="000000" w:themeColor="text1"/>
              </w:rPr>
              <w:t>2501</w:t>
            </w:r>
          </w:p>
        </w:tc>
      </w:tr>
      <w:tr w:rsidR="27C61343" w14:paraId="17E407D3"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78837CA3" w14:textId="5D7E951A" w:rsidR="27C61343" w:rsidRDefault="27C61343">
            <w:r w:rsidRPr="27C61343">
              <w:rPr>
                <w:rFonts w:ascii="Calibri" w:eastAsia="Calibri" w:hAnsi="Calibri" w:cs="Calibri"/>
                <w:color w:val="000000" w:themeColor="text1"/>
              </w:rPr>
              <w:t>Storage room</w:t>
            </w:r>
          </w:p>
        </w:tc>
        <w:tc>
          <w:tcPr>
            <w:tcW w:w="1337" w:type="dxa"/>
            <w:tcBorders>
              <w:top w:val="single" w:sz="8" w:space="0" w:color="auto"/>
              <w:left w:val="single" w:sz="8" w:space="0" w:color="auto"/>
              <w:bottom w:val="single" w:sz="8" w:space="0" w:color="auto"/>
              <w:right w:val="single" w:sz="8" w:space="0" w:color="auto"/>
            </w:tcBorders>
            <w:vAlign w:val="bottom"/>
          </w:tcPr>
          <w:p w14:paraId="28AB2C07" w14:textId="1B7DCB42" w:rsidR="27C61343" w:rsidRDefault="27C61343" w:rsidP="27C61343">
            <w:pPr>
              <w:jc w:val="right"/>
            </w:pPr>
            <w:r w:rsidRPr="27C61343">
              <w:rPr>
                <w:rFonts w:ascii="Calibri" w:eastAsia="Calibri" w:hAnsi="Calibri" w:cs="Calibri"/>
                <w:color w:val="000000" w:themeColor="text1"/>
              </w:rPr>
              <w:t>0.46</w:t>
            </w:r>
          </w:p>
        </w:tc>
        <w:tc>
          <w:tcPr>
            <w:tcW w:w="1159" w:type="dxa"/>
            <w:tcBorders>
              <w:top w:val="single" w:sz="8" w:space="0" w:color="auto"/>
              <w:left w:val="single" w:sz="8" w:space="0" w:color="auto"/>
              <w:bottom w:val="single" w:sz="8" w:space="0" w:color="auto"/>
              <w:right w:val="single" w:sz="8" w:space="0" w:color="auto"/>
            </w:tcBorders>
            <w:vAlign w:val="bottom"/>
          </w:tcPr>
          <w:p w14:paraId="75CB9EEB" w14:textId="2720F06D" w:rsidR="27C61343" w:rsidRDefault="27C61343" w:rsidP="27C61343">
            <w:pPr>
              <w:jc w:val="right"/>
            </w:pPr>
            <w:r w:rsidRPr="27C61343">
              <w:rPr>
                <w:rFonts w:ascii="Calibri" w:eastAsia="Calibri" w:hAnsi="Calibri" w:cs="Calibri"/>
                <w:color w:val="000000" w:themeColor="text1"/>
              </w:rPr>
              <w:t>831</w:t>
            </w:r>
          </w:p>
        </w:tc>
        <w:tc>
          <w:tcPr>
            <w:tcW w:w="1159" w:type="dxa"/>
            <w:tcBorders>
              <w:top w:val="single" w:sz="8" w:space="0" w:color="auto"/>
              <w:left w:val="single" w:sz="8" w:space="0" w:color="auto"/>
              <w:bottom w:val="single" w:sz="8" w:space="0" w:color="auto"/>
              <w:right w:val="single" w:sz="8" w:space="0" w:color="auto"/>
            </w:tcBorders>
            <w:vAlign w:val="bottom"/>
          </w:tcPr>
          <w:p w14:paraId="00FE56DC" w14:textId="1E7E14D6" w:rsidR="27C61343" w:rsidRDefault="27C61343" w:rsidP="27C61343">
            <w:pPr>
              <w:jc w:val="right"/>
            </w:pPr>
            <w:r w:rsidRPr="27C61343">
              <w:rPr>
                <w:rFonts w:ascii="Calibri" w:eastAsia="Calibri" w:hAnsi="Calibri" w:cs="Calibri"/>
                <w:color w:val="000000" w:themeColor="text1"/>
              </w:rPr>
              <w:t>382</w:t>
            </w:r>
          </w:p>
        </w:tc>
        <w:tc>
          <w:tcPr>
            <w:tcW w:w="1694" w:type="dxa"/>
            <w:tcBorders>
              <w:top w:val="single" w:sz="8" w:space="0" w:color="auto"/>
              <w:left w:val="single" w:sz="8" w:space="0" w:color="auto"/>
              <w:bottom w:val="single" w:sz="8" w:space="0" w:color="auto"/>
              <w:right w:val="single" w:sz="8" w:space="0" w:color="auto"/>
            </w:tcBorders>
            <w:vAlign w:val="bottom"/>
          </w:tcPr>
          <w:p w14:paraId="59968C24" w14:textId="3CC29D29" w:rsidR="27C61343" w:rsidRDefault="27C61343" w:rsidP="27C61343">
            <w:pPr>
              <w:jc w:val="right"/>
            </w:pPr>
            <w:r w:rsidRPr="27C61343">
              <w:rPr>
                <w:rFonts w:ascii="Calibri" w:eastAsia="Calibri" w:hAnsi="Calibri" w:cs="Calibri"/>
                <w:color w:val="000000" w:themeColor="text1"/>
              </w:rPr>
              <w:t>886</w:t>
            </w:r>
          </w:p>
        </w:tc>
      </w:tr>
      <w:tr w:rsidR="27C61343" w14:paraId="015E3172"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494E96E5" w14:textId="3536CCC6" w:rsidR="27C61343" w:rsidRDefault="27C61343">
            <w:r w:rsidRPr="27C61343">
              <w:rPr>
                <w:rFonts w:ascii="Calibri" w:eastAsia="Calibri" w:hAnsi="Calibri" w:cs="Calibri"/>
                <w:color w:val="000000" w:themeColor="text1"/>
              </w:rPr>
              <w:t>Enclosed office</w:t>
            </w:r>
          </w:p>
        </w:tc>
        <w:tc>
          <w:tcPr>
            <w:tcW w:w="1337" w:type="dxa"/>
            <w:tcBorders>
              <w:top w:val="single" w:sz="8" w:space="0" w:color="auto"/>
              <w:left w:val="single" w:sz="8" w:space="0" w:color="auto"/>
              <w:bottom w:val="single" w:sz="8" w:space="0" w:color="auto"/>
              <w:right w:val="single" w:sz="8" w:space="0" w:color="auto"/>
            </w:tcBorders>
            <w:vAlign w:val="bottom"/>
          </w:tcPr>
          <w:p w14:paraId="70C68DE4" w14:textId="7E8E6A8D" w:rsidR="27C61343" w:rsidRDefault="27C61343" w:rsidP="27C61343">
            <w:pPr>
              <w:jc w:val="right"/>
            </w:pPr>
            <w:r w:rsidRPr="27C61343">
              <w:rPr>
                <w:rFonts w:ascii="Calibri" w:eastAsia="Calibri" w:hAnsi="Calibri" w:cs="Calibri"/>
                <w:color w:val="000000" w:themeColor="text1"/>
              </w:rPr>
              <w:t>0.93</w:t>
            </w:r>
          </w:p>
        </w:tc>
        <w:tc>
          <w:tcPr>
            <w:tcW w:w="1159" w:type="dxa"/>
            <w:tcBorders>
              <w:top w:val="single" w:sz="8" w:space="0" w:color="auto"/>
              <w:left w:val="single" w:sz="8" w:space="0" w:color="auto"/>
              <w:bottom w:val="single" w:sz="8" w:space="0" w:color="auto"/>
              <w:right w:val="single" w:sz="8" w:space="0" w:color="auto"/>
            </w:tcBorders>
            <w:vAlign w:val="bottom"/>
          </w:tcPr>
          <w:p w14:paraId="23E4CF10" w14:textId="6D6C0924" w:rsidR="27C61343" w:rsidRDefault="27C61343" w:rsidP="27C61343">
            <w:pPr>
              <w:jc w:val="right"/>
            </w:pPr>
            <w:r w:rsidRPr="27C61343">
              <w:rPr>
                <w:rFonts w:ascii="Calibri" w:eastAsia="Calibri" w:hAnsi="Calibri" w:cs="Calibri"/>
                <w:color w:val="000000" w:themeColor="text1"/>
              </w:rPr>
              <w:t>2075</w:t>
            </w:r>
          </w:p>
        </w:tc>
        <w:tc>
          <w:tcPr>
            <w:tcW w:w="1159" w:type="dxa"/>
            <w:tcBorders>
              <w:top w:val="single" w:sz="8" w:space="0" w:color="auto"/>
              <w:left w:val="single" w:sz="8" w:space="0" w:color="auto"/>
              <w:bottom w:val="single" w:sz="8" w:space="0" w:color="auto"/>
              <w:right w:val="single" w:sz="8" w:space="0" w:color="auto"/>
            </w:tcBorders>
            <w:vAlign w:val="bottom"/>
          </w:tcPr>
          <w:p w14:paraId="3D94F8A9" w14:textId="1323626D" w:rsidR="27C61343" w:rsidRDefault="27C61343" w:rsidP="27C61343">
            <w:pPr>
              <w:jc w:val="right"/>
            </w:pPr>
            <w:r w:rsidRPr="27C61343">
              <w:rPr>
                <w:rFonts w:ascii="Calibri" w:eastAsia="Calibri" w:hAnsi="Calibri" w:cs="Calibri"/>
                <w:color w:val="000000" w:themeColor="text1"/>
              </w:rPr>
              <w:t>1930</w:t>
            </w:r>
          </w:p>
        </w:tc>
        <w:tc>
          <w:tcPr>
            <w:tcW w:w="1694" w:type="dxa"/>
            <w:tcBorders>
              <w:top w:val="single" w:sz="8" w:space="0" w:color="auto"/>
              <w:left w:val="single" w:sz="8" w:space="0" w:color="auto"/>
              <w:bottom w:val="single" w:sz="8" w:space="0" w:color="auto"/>
              <w:right w:val="single" w:sz="8" w:space="0" w:color="auto"/>
            </w:tcBorders>
            <w:vAlign w:val="bottom"/>
          </w:tcPr>
          <w:p w14:paraId="4594E2ED" w14:textId="24B73DFD" w:rsidR="27C61343" w:rsidRDefault="27C61343" w:rsidP="27C61343">
            <w:pPr>
              <w:jc w:val="right"/>
            </w:pPr>
            <w:r w:rsidRPr="27C61343">
              <w:rPr>
                <w:rFonts w:ascii="Calibri" w:eastAsia="Calibri" w:hAnsi="Calibri" w:cs="Calibri"/>
                <w:color w:val="000000" w:themeColor="text1"/>
              </w:rPr>
              <w:t>2342</w:t>
            </w:r>
          </w:p>
        </w:tc>
      </w:tr>
      <w:tr w:rsidR="27C61343" w14:paraId="35597C48"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67A779B4" w14:textId="697B6EBD" w:rsidR="27C61343" w:rsidRDefault="27C61343">
            <w:r w:rsidRPr="27C61343">
              <w:rPr>
                <w:rFonts w:ascii="Calibri" w:eastAsia="Calibri" w:hAnsi="Calibri" w:cs="Calibri"/>
                <w:color w:val="000000" w:themeColor="text1"/>
              </w:rPr>
              <w:t>Open plan Office</w:t>
            </w:r>
          </w:p>
        </w:tc>
        <w:tc>
          <w:tcPr>
            <w:tcW w:w="1337" w:type="dxa"/>
            <w:tcBorders>
              <w:top w:val="single" w:sz="8" w:space="0" w:color="auto"/>
              <w:left w:val="single" w:sz="8" w:space="0" w:color="auto"/>
              <w:bottom w:val="single" w:sz="8" w:space="0" w:color="auto"/>
              <w:right w:val="single" w:sz="8" w:space="0" w:color="auto"/>
            </w:tcBorders>
            <w:vAlign w:val="bottom"/>
          </w:tcPr>
          <w:p w14:paraId="17AC7795" w14:textId="014F487B" w:rsidR="27C61343" w:rsidRDefault="27C61343" w:rsidP="27C61343">
            <w:pPr>
              <w:jc w:val="right"/>
            </w:pPr>
            <w:r w:rsidRPr="27C61343">
              <w:rPr>
                <w:rFonts w:ascii="Calibri" w:eastAsia="Calibri" w:hAnsi="Calibri" w:cs="Calibri"/>
                <w:color w:val="000000" w:themeColor="text1"/>
              </w:rPr>
              <w:t>0.81</w:t>
            </w:r>
          </w:p>
        </w:tc>
        <w:tc>
          <w:tcPr>
            <w:tcW w:w="1159" w:type="dxa"/>
            <w:tcBorders>
              <w:top w:val="single" w:sz="8" w:space="0" w:color="auto"/>
              <w:left w:val="single" w:sz="8" w:space="0" w:color="auto"/>
              <w:bottom w:val="single" w:sz="8" w:space="0" w:color="auto"/>
              <w:right w:val="single" w:sz="8" w:space="0" w:color="auto"/>
            </w:tcBorders>
            <w:vAlign w:val="bottom"/>
          </w:tcPr>
          <w:p w14:paraId="1847F0F5" w14:textId="4835F58F" w:rsidR="27C61343" w:rsidRDefault="27C61343" w:rsidP="27C61343">
            <w:pPr>
              <w:jc w:val="right"/>
            </w:pPr>
            <w:r w:rsidRPr="27C61343">
              <w:rPr>
                <w:rFonts w:ascii="Calibri" w:eastAsia="Calibri" w:hAnsi="Calibri" w:cs="Calibri"/>
                <w:color w:val="000000" w:themeColor="text1"/>
              </w:rPr>
              <w:t>7719</w:t>
            </w:r>
          </w:p>
        </w:tc>
        <w:tc>
          <w:tcPr>
            <w:tcW w:w="1159" w:type="dxa"/>
            <w:tcBorders>
              <w:top w:val="single" w:sz="8" w:space="0" w:color="auto"/>
              <w:left w:val="single" w:sz="8" w:space="0" w:color="auto"/>
              <w:bottom w:val="single" w:sz="8" w:space="0" w:color="auto"/>
              <w:right w:val="single" w:sz="8" w:space="0" w:color="auto"/>
            </w:tcBorders>
            <w:vAlign w:val="bottom"/>
          </w:tcPr>
          <w:p w14:paraId="61E93CD5" w14:textId="1DF883D3" w:rsidR="27C61343" w:rsidRDefault="27C61343" w:rsidP="27C61343">
            <w:pPr>
              <w:jc w:val="right"/>
            </w:pPr>
            <w:r w:rsidRPr="27C61343">
              <w:rPr>
                <w:rFonts w:ascii="Calibri" w:eastAsia="Calibri" w:hAnsi="Calibri" w:cs="Calibri"/>
                <w:color w:val="000000" w:themeColor="text1"/>
              </w:rPr>
              <w:t>6252</w:t>
            </w:r>
          </w:p>
        </w:tc>
        <w:tc>
          <w:tcPr>
            <w:tcW w:w="1694" w:type="dxa"/>
            <w:tcBorders>
              <w:top w:val="single" w:sz="8" w:space="0" w:color="auto"/>
              <w:left w:val="single" w:sz="8" w:space="0" w:color="auto"/>
              <w:bottom w:val="single" w:sz="8" w:space="0" w:color="auto"/>
              <w:right w:val="single" w:sz="8" w:space="0" w:color="auto"/>
            </w:tcBorders>
            <w:vAlign w:val="bottom"/>
          </w:tcPr>
          <w:p w14:paraId="7D2F425B" w14:textId="311FB67F" w:rsidR="27C61343" w:rsidRDefault="27C61343" w:rsidP="27C61343">
            <w:pPr>
              <w:jc w:val="right"/>
            </w:pPr>
            <w:r w:rsidRPr="27C61343">
              <w:rPr>
                <w:rFonts w:ascii="Calibri" w:eastAsia="Calibri" w:hAnsi="Calibri" w:cs="Calibri"/>
                <w:color w:val="000000" w:themeColor="text1"/>
              </w:rPr>
              <w:t>8539</w:t>
            </w:r>
          </w:p>
        </w:tc>
      </w:tr>
      <w:tr w:rsidR="27C61343" w14:paraId="0411D561"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4D487ABA" w14:textId="65FAD31B" w:rsidR="27C61343" w:rsidRDefault="27C61343">
            <w:r w:rsidRPr="27C61343">
              <w:rPr>
                <w:rFonts w:ascii="Calibri" w:eastAsia="Calibri" w:hAnsi="Calibri" w:cs="Calibri"/>
                <w:color w:val="000000" w:themeColor="text1"/>
              </w:rPr>
              <w:t>Lounge/breakroom</w:t>
            </w:r>
          </w:p>
        </w:tc>
        <w:tc>
          <w:tcPr>
            <w:tcW w:w="1337" w:type="dxa"/>
            <w:tcBorders>
              <w:top w:val="single" w:sz="8" w:space="0" w:color="auto"/>
              <w:left w:val="single" w:sz="8" w:space="0" w:color="auto"/>
              <w:bottom w:val="single" w:sz="8" w:space="0" w:color="auto"/>
              <w:right w:val="single" w:sz="8" w:space="0" w:color="auto"/>
            </w:tcBorders>
            <w:vAlign w:val="bottom"/>
          </w:tcPr>
          <w:p w14:paraId="252F8823" w14:textId="74AAB5BA" w:rsidR="27C61343" w:rsidRDefault="27C61343" w:rsidP="27C61343">
            <w:pPr>
              <w:jc w:val="right"/>
            </w:pPr>
            <w:r w:rsidRPr="27C61343">
              <w:rPr>
                <w:rFonts w:ascii="Calibri" w:eastAsia="Calibri" w:hAnsi="Calibri" w:cs="Calibri"/>
                <w:color w:val="000000" w:themeColor="text1"/>
              </w:rPr>
              <w:t>0.62</w:t>
            </w:r>
          </w:p>
        </w:tc>
        <w:tc>
          <w:tcPr>
            <w:tcW w:w="1159" w:type="dxa"/>
            <w:tcBorders>
              <w:top w:val="single" w:sz="8" w:space="0" w:color="auto"/>
              <w:left w:val="single" w:sz="8" w:space="0" w:color="auto"/>
              <w:bottom w:val="single" w:sz="8" w:space="0" w:color="auto"/>
              <w:right w:val="single" w:sz="8" w:space="0" w:color="auto"/>
            </w:tcBorders>
            <w:vAlign w:val="bottom"/>
          </w:tcPr>
          <w:p w14:paraId="23289911" w14:textId="7A5AC136" w:rsidR="27C61343" w:rsidRDefault="27C61343" w:rsidP="27C61343">
            <w:pPr>
              <w:jc w:val="right"/>
            </w:pPr>
            <w:r w:rsidRPr="27C61343">
              <w:rPr>
                <w:rFonts w:ascii="Calibri" w:eastAsia="Calibri" w:hAnsi="Calibri" w:cs="Calibri"/>
                <w:color w:val="000000" w:themeColor="text1"/>
              </w:rPr>
              <w:t>304</w:t>
            </w:r>
          </w:p>
        </w:tc>
        <w:tc>
          <w:tcPr>
            <w:tcW w:w="1159" w:type="dxa"/>
            <w:tcBorders>
              <w:top w:val="single" w:sz="8" w:space="0" w:color="auto"/>
              <w:left w:val="single" w:sz="8" w:space="0" w:color="auto"/>
              <w:bottom w:val="single" w:sz="8" w:space="0" w:color="auto"/>
              <w:right w:val="single" w:sz="8" w:space="0" w:color="auto"/>
            </w:tcBorders>
            <w:vAlign w:val="bottom"/>
          </w:tcPr>
          <w:p w14:paraId="4F4803D0" w14:textId="5F8BE359" w:rsidR="27C61343" w:rsidRDefault="27C61343" w:rsidP="27C61343">
            <w:pPr>
              <w:jc w:val="right"/>
            </w:pPr>
            <w:r w:rsidRPr="27C61343">
              <w:rPr>
                <w:rFonts w:ascii="Calibri" w:eastAsia="Calibri" w:hAnsi="Calibri" w:cs="Calibri"/>
                <w:color w:val="000000" w:themeColor="text1"/>
              </w:rPr>
              <w:t>188</w:t>
            </w:r>
          </w:p>
        </w:tc>
        <w:tc>
          <w:tcPr>
            <w:tcW w:w="1694" w:type="dxa"/>
            <w:tcBorders>
              <w:top w:val="single" w:sz="8" w:space="0" w:color="auto"/>
              <w:left w:val="single" w:sz="8" w:space="0" w:color="auto"/>
              <w:bottom w:val="single" w:sz="8" w:space="0" w:color="auto"/>
              <w:right w:val="single" w:sz="8" w:space="0" w:color="auto"/>
            </w:tcBorders>
            <w:vAlign w:val="bottom"/>
          </w:tcPr>
          <w:p w14:paraId="31B58CB6" w14:textId="21EA5DCE" w:rsidR="27C61343" w:rsidRDefault="27C61343" w:rsidP="27C61343">
            <w:pPr>
              <w:jc w:val="right"/>
            </w:pPr>
            <w:r w:rsidRPr="27C61343">
              <w:rPr>
                <w:rFonts w:ascii="Calibri" w:eastAsia="Calibri" w:hAnsi="Calibri" w:cs="Calibri"/>
                <w:color w:val="000000" w:themeColor="text1"/>
              </w:rPr>
              <w:t>339</w:t>
            </w:r>
          </w:p>
        </w:tc>
      </w:tr>
      <w:tr w:rsidR="27C61343" w14:paraId="00250863"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45D17C58" w14:textId="0B16150F" w:rsidR="27C61343" w:rsidRDefault="27C61343">
            <w:r w:rsidRPr="27C61343">
              <w:rPr>
                <w:rFonts w:ascii="Calibri" w:eastAsia="Calibri" w:hAnsi="Calibri" w:cs="Calibri"/>
                <w:color w:val="000000" w:themeColor="text1"/>
              </w:rPr>
              <w:t>Copy/print room</w:t>
            </w:r>
          </w:p>
        </w:tc>
        <w:tc>
          <w:tcPr>
            <w:tcW w:w="1337" w:type="dxa"/>
            <w:tcBorders>
              <w:top w:val="single" w:sz="8" w:space="0" w:color="auto"/>
              <w:left w:val="single" w:sz="8" w:space="0" w:color="auto"/>
              <w:bottom w:val="single" w:sz="8" w:space="0" w:color="auto"/>
              <w:right w:val="single" w:sz="8" w:space="0" w:color="auto"/>
            </w:tcBorders>
            <w:vAlign w:val="bottom"/>
          </w:tcPr>
          <w:p w14:paraId="49B73DEA" w14:textId="1645E970" w:rsidR="27C61343" w:rsidRDefault="27C61343" w:rsidP="27C61343">
            <w:pPr>
              <w:jc w:val="right"/>
            </w:pPr>
            <w:r w:rsidRPr="27C61343">
              <w:rPr>
                <w:rFonts w:ascii="Calibri" w:eastAsia="Calibri" w:hAnsi="Calibri" w:cs="Calibri"/>
                <w:color w:val="000000" w:themeColor="text1"/>
              </w:rPr>
              <w:t>0.56</w:t>
            </w:r>
          </w:p>
        </w:tc>
        <w:tc>
          <w:tcPr>
            <w:tcW w:w="1159" w:type="dxa"/>
            <w:tcBorders>
              <w:top w:val="single" w:sz="8" w:space="0" w:color="auto"/>
              <w:left w:val="single" w:sz="8" w:space="0" w:color="auto"/>
              <w:bottom w:val="single" w:sz="8" w:space="0" w:color="auto"/>
              <w:right w:val="single" w:sz="8" w:space="0" w:color="auto"/>
            </w:tcBorders>
            <w:vAlign w:val="bottom"/>
          </w:tcPr>
          <w:p w14:paraId="73AC7DB9" w14:textId="4ABA0FBB" w:rsidR="27C61343" w:rsidRDefault="27C61343" w:rsidP="27C61343">
            <w:pPr>
              <w:jc w:val="right"/>
            </w:pPr>
            <w:r w:rsidRPr="27C61343">
              <w:rPr>
                <w:rFonts w:ascii="Calibri" w:eastAsia="Calibri" w:hAnsi="Calibri" w:cs="Calibri"/>
                <w:color w:val="000000" w:themeColor="text1"/>
              </w:rPr>
              <w:t>355</w:t>
            </w:r>
          </w:p>
        </w:tc>
        <w:tc>
          <w:tcPr>
            <w:tcW w:w="1159" w:type="dxa"/>
            <w:tcBorders>
              <w:top w:val="single" w:sz="8" w:space="0" w:color="auto"/>
              <w:left w:val="single" w:sz="8" w:space="0" w:color="auto"/>
              <w:bottom w:val="single" w:sz="8" w:space="0" w:color="auto"/>
              <w:right w:val="single" w:sz="8" w:space="0" w:color="auto"/>
            </w:tcBorders>
            <w:vAlign w:val="bottom"/>
          </w:tcPr>
          <w:p w14:paraId="560862A8" w14:textId="5C6AFE50" w:rsidR="27C61343" w:rsidRDefault="27C61343" w:rsidP="27C61343">
            <w:pPr>
              <w:jc w:val="right"/>
            </w:pPr>
            <w:r w:rsidRPr="27C61343">
              <w:rPr>
                <w:rFonts w:ascii="Calibri" w:eastAsia="Calibri" w:hAnsi="Calibri" w:cs="Calibri"/>
                <w:color w:val="000000" w:themeColor="text1"/>
              </w:rPr>
              <w:t>199</w:t>
            </w:r>
          </w:p>
        </w:tc>
        <w:tc>
          <w:tcPr>
            <w:tcW w:w="1694" w:type="dxa"/>
            <w:tcBorders>
              <w:top w:val="single" w:sz="8" w:space="0" w:color="auto"/>
              <w:left w:val="single" w:sz="8" w:space="0" w:color="auto"/>
              <w:bottom w:val="single" w:sz="8" w:space="0" w:color="auto"/>
              <w:right w:val="single" w:sz="8" w:space="0" w:color="auto"/>
            </w:tcBorders>
            <w:vAlign w:val="bottom"/>
          </w:tcPr>
          <w:p w14:paraId="73595933" w14:textId="462D8A6A" w:rsidR="27C61343" w:rsidRDefault="27C61343" w:rsidP="27C61343">
            <w:pPr>
              <w:jc w:val="right"/>
            </w:pPr>
            <w:r w:rsidRPr="27C61343">
              <w:rPr>
                <w:rFonts w:ascii="Calibri" w:eastAsia="Calibri" w:hAnsi="Calibri" w:cs="Calibri"/>
                <w:color w:val="000000" w:themeColor="text1"/>
              </w:rPr>
              <w:t>283</w:t>
            </w:r>
          </w:p>
        </w:tc>
      </w:tr>
      <w:tr w:rsidR="27C61343" w14:paraId="40372388"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3000E9DB" w14:textId="5D4B6D79" w:rsidR="27C61343" w:rsidRDefault="27C61343">
            <w:r w:rsidRPr="27C61343">
              <w:rPr>
                <w:rFonts w:ascii="Calibri" w:eastAsia="Calibri" w:hAnsi="Calibri" w:cs="Calibri"/>
                <w:color w:val="000000" w:themeColor="text1"/>
              </w:rPr>
              <w:t>Conference/meeting/multipurpose room</w:t>
            </w:r>
          </w:p>
        </w:tc>
        <w:tc>
          <w:tcPr>
            <w:tcW w:w="1337" w:type="dxa"/>
            <w:tcBorders>
              <w:top w:val="single" w:sz="8" w:space="0" w:color="auto"/>
              <w:left w:val="single" w:sz="8" w:space="0" w:color="auto"/>
              <w:bottom w:val="single" w:sz="8" w:space="0" w:color="auto"/>
              <w:right w:val="single" w:sz="8" w:space="0" w:color="auto"/>
            </w:tcBorders>
            <w:vAlign w:val="bottom"/>
          </w:tcPr>
          <w:p w14:paraId="4C327A63" w14:textId="32AC244B" w:rsidR="27C61343" w:rsidRDefault="27C61343" w:rsidP="27C61343">
            <w:pPr>
              <w:jc w:val="right"/>
            </w:pPr>
            <w:r w:rsidRPr="27C61343">
              <w:rPr>
                <w:rFonts w:ascii="Calibri" w:eastAsia="Calibri" w:hAnsi="Calibri" w:cs="Calibri"/>
                <w:color w:val="000000" w:themeColor="text1"/>
              </w:rPr>
              <w:t>1.07</w:t>
            </w:r>
          </w:p>
        </w:tc>
        <w:tc>
          <w:tcPr>
            <w:tcW w:w="1159" w:type="dxa"/>
            <w:tcBorders>
              <w:top w:val="single" w:sz="8" w:space="0" w:color="auto"/>
              <w:left w:val="single" w:sz="8" w:space="0" w:color="auto"/>
              <w:bottom w:val="single" w:sz="8" w:space="0" w:color="auto"/>
              <w:right w:val="single" w:sz="8" w:space="0" w:color="auto"/>
            </w:tcBorders>
            <w:vAlign w:val="bottom"/>
          </w:tcPr>
          <w:p w14:paraId="00AE95DF" w14:textId="773AC924" w:rsidR="27C61343" w:rsidRDefault="27C61343" w:rsidP="27C61343">
            <w:pPr>
              <w:jc w:val="right"/>
            </w:pPr>
            <w:r w:rsidRPr="27C61343">
              <w:rPr>
                <w:rFonts w:ascii="Calibri" w:eastAsia="Calibri" w:hAnsi="Calibri" w:cs="Calibri"/>
                <w:color w:val="000000" w:themeColor="text1"/>
              </w:rPr>
              <w:t>793</w:t>
            </w:r>
          </w:p>
        </w:tc>
        <w:tc>
          <w:tcPr>
            <w:tcW w:w="1159" w:type="dxa"/>
            <w:tcBorders>
              <w:top w:val="single" w:sz="8" w:space="0" w:color="auto"/>
              <w:left w:val="single" w:sz="8" w:space="0" w:color="auto"/>
              <w:bottom w:val="single" w:sz="8" w:space="0" w:color="auto"/>
              <w:right w:val="single" w:sz="8" w:space="0" w:color="auto"/>
            </w:tcBorders>
            <w:vAlign w:val="bottom"/>
          </w:tcPr>
          <w:p w14:paraId="0A0CF957" w14:textId="7C42E3BD" w:rsidR="27C61343" w:rsidRDefault="27C61343" w:rsidP="27C61343">
            <w:pPr>
              <w:jc w:val="right"/>
            </w:pPr>
            <w:r w:rsidRPr="27C61343">
              <w:rPr>
                <w:rFonts w:ascii="Calibri" w:eastAsia="Calibri" w:hAnsi="Calibri" w:cs="Calibri"/>
                <w:color w:val="000000" w:themeColor="text1"/>
              </w:rPr>
              <w:t>849</w:t>
            </w:r>
          </w:p>
        </w:tc>
        <w:tc>
          <w:tcPr>
            <w:tcW w:w="1694" w:type="dxa"/>
            <w:tcBorders>
              <w:top w:val="single" w:sz="8" w:space="0" w:color="auto"/>
              <w:left w:val="single" w:sz="8" w:space="0" w:color="auto"/>
              <w:bottom w:val="single" w:sz="8" w:space="0" w:color="auto"/>
              <w:right w:val="single" w:sz="8" w:space="0" w:color="auto"/>
            </w:tcBorders>
            <w:vAlign w:val="bottom"/>
          </w:tcPr>
          <w:p w14:paraId="7D79ACDA" w14:textId="307F0E81" w:rsidR="27C61343" w:rsidRDefault="27C61343" w:rsidP="27C61343">
            <w:pPr>
              <w:jc w:val="right"/>
            </w:pPr>
            <w:r w:rsidRPr="27C61343">
              <w:rPr>
                <w:rFonts w:ascii="Calibri" w:eastAsia="Calibri" w:hAnsi="Calibri" w:cs="Calibri"/>
                <w:color w:val="000000" w:themeColor="text1"/>
              </w:rPr>
              <w:t>570</w:t>
            </w:r>
          </w:p>
        </w:tc>
      </w:tr>
      <w:tr w:rsidR="27C61343" w14:paraId="4392D607"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3A19EC14" w14:textId="1AE45B8E" w:rsidR="27C61343" w:rsidRDefault="27C61343">
            <w:r w:rsidRPr="27C61343">
              <w:rPr>
                <w:rFonts w:ascii="Calibri" w:eastAsia="Calibri" w:hAnsi="Calibri" w:cs="Calibri"/>
                <w:color w:val="000000" w:themeColor="text1"/>
              </w:rPr>
              <w:t>Lobby</w:t>
            </w:r>
          </w:p>
        </w:tc>
        <w:tc>
          <w:tcPr>
            <w:tcW w:w="1337" w:type="dxa"/>
            <w:tcBorders>
              <w:top w:val="single" w:sz="8" w:space="0" w:color="auto"/>
              <w:left w:val="single" w:sz="8" w:space="0" w:color="auto"/>
              <w:bottom w:val="single" w:sz="8" w:space="0" w:color="auto"/>
              <w:right w:val="single" w:sz="8" w:space="0" w:color="auto"/>
            </w:tcBorders>
            <w:vAlign w:val="bottom"/>
          </w:tcPr>
          <w:p w14:paraId="7B2D37F7" w14:textId="580054C3" w:rsidR="27C61343" w:rsidRDefault="27C61343" w:rsidP="27C61343">
            <w:pPr>
              <w:jc w:val="right"/>
            </w:pPr>
            <w:r w:rsidRPr="27C61343">
              <w:rPr>
                <w:rFonts w:ascii="Calibri" w:eastAsia="Calibri" w:hAnsi="Calibri" w:cs="Calibri"/>
                <w:color w:val="000000" w:themeColor="text1"/>
              </w:rPr>
              <w:t>1.0</w:t>
            </w:r>
          </w:p>
        </w:tc>
        <w:tc>
          <w:tcPr>
            <w:tcW w:w="1159" w:type="dxa"/>
            <w:tcBorders>
              <w:top w:val="single" w:sz="8" w:space="0" w:color="auto"/>
              <w:left w:val="single" w:sz="8" w:space="0" w:color="auto"/>
              <w:bottom w:val="single" w:sz="8" w:space="0" w:color="auto"/>
              <w:right w:val="single" w:sz="8" w:space="0" w:color="auto"/>
            </w:tcBorders>
            <w:vAlign w:val="bottom"/>
          </w:tcPr>
          <w:p w14:paraId="2BE0743B" w14:textId="47779F5A" w:rsidR="27C61343" w:rsidRDefault="27C61343" w:rsidP="27C61343">
            <w:pPr>
              <w:jc w:val="right"/>
            </w:pPr>
            <w:r w:rsidRPr="27C61343">
              <w:rPr>
                <w:rFonts w:ascii="Calibri" w:eastAsia="Calibri" w:hAnsi="Calibri" w:cs="Calibri"/>
                <w:color w:val="000000" w:themeColor="text1"/>
              </w:rPr>
              <w:t>387</w:t>
            </w:r>
          </w:p>
        </w:tc>
        <w:tc>
          <w:tcPr>
            <w:tcW w:w="1159" w:type="dxa"/>
            <w:tcBorders>
              <w:top w:val="single" w:sz="8" w:space="0" w:color="auto"/>
              <w:left w:val="single" w:sz="8" w:space="0" w:color="auto"/>
              <w:bottom w:val="single" w:sz="8" w:space="0" w:color="auto"/>
              <w:right w:val="single" w:sz="8" w:space="0" w:color="auto"/>
            </w:tcBorders>
            <w:vAlign w:val="bottom"/>
          </w:tcPr>
          <w:p w14:paraId="75DF95C4" w14:textId="10C78C53" w:rsidR="27C61343" w:rsidRDefault="27C61343" w:rsidP="27C61343">
            <w:pPr>
              <w:jc w:val="right"/>
            </w:pPr>
            <w:r w:rsidRPr="27C61343">
              <w:rPr>
                <w:rFonts w:ascii="Calibri" w:eastAsia="Calibri" w:hAnsi="Calibri" w:cs="Calibri"/>
                <w:color w:val="000000" w:themeColor="text1"/>
              </w:rPr>
              <w:t>387</w:t>
            </w:r>
          </w:p>
        </w:tc>
        <w:tc>
          <w:tcPr>
            <w:tcW w:w="1694" w:type="dxa"/>
            <w:tcBorders>
              <w:top w:val="single" w:sz="8" w:space="0" w:color="auto"/>
              <w:left w:val="single" w:sz="8" w:space="0" w:color="auto"/>
              <w:bottom w:val="single" w:sz="8" w:space="0" w:color="auto"/>
              <w:right w:val="single" w:sz="8" w:space="0" w:color="auto"/>
            </w:tcBorders>
            <w:vAlign w:val="bottom"/>
          </w:tcPr>
          <w:p w14:paraId="21167F97" w14:textId="737BA2C2" w:rsidR="27C61343" w:rsidRDefault="27C61343" w:rsidP="27C61343">
            <w:pPr>
              <w:jc w:val="right"/>
            </w:pPr>
            <w:r w:rsidRPr="27C61343">
              <w:rPr>
                <w:rFonts w:ascii="Calibri" w:eastAsia="Calibri" w:hAnsi="Calibri" w:cs="Calibri"/>
                <w:color w:val="000000" w:themeColor="text1"/>
              </w:rPr>
              <w:t>393</w:t>
            </w:r>
          </w:p>
        </w:tc>
      </w:tr>
      <w:tr w:rsidR="27C61343" w14:paraId="54629CAF"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2679494E" w14:textId="0FDC42D7" w:rsidR="27C61343" w:rsidRDefault="15B41149">
            <w:r w:rsidRPr="15B41149">
              <w:rPr>
                <w:rFonts w:ascii="Calibri" w:eastAsia="Calibri" w:hAnsi="Calibri" w:cs="Calibri"/>
                <w:b/>
                <w:bCs/>
                <w:color w:val="000000" w:themeColor="text1"/>
              </w:rPr>
              <w:t xml:space="preserve">Total Interior Allowance, </w:t>
            </w:r>
          </w:p>
          <w:p w14:paraId="36295E67" w14:textId="4294845F" w:rsidR="27C61343" w:rsidRDefault="15B41149" w:rsidP="15B41149">
            <w:pPr>
              <w:rPr>
                <w:rFonts w:ascii="Calibri" w:eastAsia="Calibri" w:hAnsi="Calibri" w:cs="Calibri"/>
                <w:b/>
                <w:bCs/>
                <w:color w:val="000000" w:themeColor="text1"/>
              </w:rPr>
            </w:pPr>
            <w:r w:rsidRPr="15B41149">
              <w:rPr>
                <w:rFonts w:ascii="Calibri" w:eastAsia="Calibri" w:hAnsi="Calibri" w:cs="Calibri"/>
                <w:b/>
                <w:bCs/>
                <w:color w:val="000000" w:themeColor="text1"/>
              </w:rPr>
              <w:t>Space-by-Space</w:t>
            </w:r>
          </w:p>
        </w:tc>
        <w:tc>
          <w:tcPr>
            <w:tcW w:w="1337" w:type="dxa"/>
            <w:tcBorders>
              <w:top w:val="single" w:sz="8" w:space="0" w:color="auto"/>
              <w:left w:val="single" w:sz="8" w:space="0" w:color="auto"/>
              <w:bottom w:val="single" w:sz="8" w:space="0" w:color="auto"/>
              <w:right w:val="single" w:sz="8" w:space="0" w:color="auto"/>
            </w:tcBorders>
            <w:vAlign w:val="bottom"/>
          </w:tcPr>
          <w:p w14:paraId="5373C558" w14:textId="00E8D37C" w:rsidR="27C61343" w:rsidRDefault="27C61343"/>
        </w:tc>
        <w:tc>
          <w:tcPr>
            <w:tcW w:w="1159" w:type="dxa"/>
            <w:tcBorders>
              <w:top w:val="single" w:sz="8" w:space="0" w:color="auto"/>
              <w:left w:val="single" w:sz="8" w:space="0" w:color="auto"/>
              <w:bottom w:val="single" w:sz="8" w:space="0" w:color="auto"/>
              <w:right w:val="single" w:sz="8" w:space="0" w:color="auto"/>
            </w:tcBorders>
            <w:vAlign w:val="bottom"/>
          </w:tcPr>
          <w:p w14:paraId="4275FF50" w14:textId="43A8E5E7" w:rsidR="27C61343" w:rsidRDefault="27C61343" w:rsidP="27C61343">
            <w:pPr>
              <w:jc w:val="right"/>
            </w:pPr>
            <w:r w:rsidRPr="27C61343">
              <w:rPr>
                <w:rFonts w:ascii="Calibri" w:eastAsia="Calibri" w:hAnsi="Calibri" w:cs="Calibri"/>
                <w:color w:val="000000" w:themeColor="text1"/>
              </w:rPr>
              <w:t>14670</w:t>
            </w:r>
          </w:p>
        </w:tc>
        <w:tc>
          <w:tcPr>
            <w:tcW w:w="1159" w:type="dxa"/>
            <w:tcBorders>
              <w:top w:val="single" w:sz="8" w:space="0" w:color="auto"/>
              <w:left w:val="single" w:sz="8" w:space="0" w:color="auto"/>
              <w:bottom w:val="single" w:sz="8" w:space="0" w:color="auto"/>
              <w:right w:val="single" w:sz="8" w:space="0" w:color="auto"/>
            </w:tcBorders>
            <w:vAlign w:val="bottom"/>
          </w:tcPr>
          <w:p w14:paraId="6FAFF102" w14:textId="02253688" w:rsidR="27C61343" w:rsidRDefault="27C61343" w:rsidP="27C61343">
            <w:pPr>
              <w:jc w:val="right"/>
            </w:pPr>
            <w:r w:rsidRPr="27C61343">
              <w:rPr>
                <w:rFonts w:ascii="Calibri" w:eastAsia="Calibri" w:hAnsi="Calibri" w:cs="Calibri"/>
                <w:b/>
                <w:bCs/>
                <w:color w:val="000000" w:themeColor="text1"/>
              </w:rPr>
              <w:t>11643</w:t>
            </w:r>
          </w:p>
        </w:tc>
        <w:tc>
          <w:tcPr>
            <w:tcW w:w="1694" w:type="dxa"/>
            <w:tcBorders>
              <w:top w:val="single" w:sz="8" w:space="0" w:color="auto"/>
              <w:left w:val="single" w:sz="8" w:space="0" w:color="auto"/>
              <w:bottom w:val="single" w:sz="8" w:space="0" w:color="auto"/>
              <w:right w:val="single" w:sz="8" w:space="0" w:color="auto"/>
            </w:tcBorders>
            <w:vAlign w:val="bottom"/>
          </w:tcPr>
          <w:p w14:paraId="7C2F9DED" w14:textId="7529E4E9" w:rsidR="27C61343" w:rsidRDefault="27C61343"/>
        </w:tc>
      </w:tr>
      <w:tr w:rsidR="27C61343" w14:paraId="421F76AC"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6CE14CF2" w14:textId="09962010" w:rsidR="27C61343" w:rsidRDefault="27C61343">
            <w:r w:rsidRPr="27C61343">
              <w:rPr>
                <w:rFonts w:ascii="Calibri" w:eastAsia="Calibri" w:hAnsi="Calibri" w:cs="Calibri"/>
                <w:b/>
                <w:bCs/>
                <w:color w:val="000000" w:themeColor="text1"/>
              </w:rPr>
              <w:t>Total Interior Connected Load</w:t>
            </w:r>
          </w:p>
        </w:tc>
        <w:tc>
          <w:tcPr>
            <w:tcW w:w="1337" w:type="dxa"/>
            <w:tcBorders>
              <w:top w:val="single" w:sz="8" w:space="0" w:color="auto"/>
              <w:left w:val="single" w:sz="8" w:space="0" w:color="auto"/>
              <w:bottom w:val="single" w:sz="8" w:space="0" w:color="auto"/>
              <w:right w:val="single" w:sz="8" w:space="0" w:color="auto"/>
            </w:tcBorders>
            <w:vAlign w:val="bottom"/>
          </w:tcPr>
          <w:p w14:paraId="5F7729E3" w14:textId="609AB14B" w:rsidR="27C61343" w:rsidRDefault="27C61343"/>
        </w:tc>
        <w:tc>
          <w:tcPr>
            <w:tcW w:w="1159" w:type="dxa"/>
            <w:tcBorders>
              <w:top w:val="single" w:sz="8" w:space="0" w:color="auto"/>
              <w:left w:val="single" w:sz="8" w:space="0" w:color="auto"/>
              <w:bottom w:val="single" w:sz="8" w:space="0" w:color="auto"/>
              <w:right w:val="single" w:sz="8" w:space="0" w:color="auto"/>
            </w:tcBorders>
            <w:vAlign w:val="bottom"/>
          </w:tcPr>
          <w:p w14:paraId="1888D3F5" w14:textId="519B8D96" w:rsidR="27C61343" w:rsidRDefault="27C61343"/>
        </w:tc>
        <w:tc>
          <w:tcPr>
            <w:tcW w:w="1159" w:type="dxa"/>
            <w:tcBorders>
              <w:top w:val="single" w:sz="8" w:space="0" w:color="auto"/>
              <w:left w:val="single" w:sz="8" w:space="0" w:color="auto"/>
              <w:bottom w:val="single" w:sz="8" w:space="0" w:color="auto"/>
              <w:right w:val="single" w:sz="8" w:space="0" w:color="auto"/>
            </w:tcBorders>
            <w:vAlign w:val="bottom"/>
          </w:tcPr>
          <w:p w14:paraId="465918D4" w14:textId="5C8E73CE" w:rsidR="27C61343" w:rsidRDefault="27C61343"/>
        </w:tc>
        <w:tc>
          <w:tcPr>
            <w:tcW w:w="1694" w:type="dxa"/>
            <w:tcBorders>
              <w:top w:val="single" w:sz="8" w:space="0" w:color="auto"/>
              <w:left w:val="single" w:sz="8" w:space="0" w:color="auto"/>
              <w:bottom w:val="single" w:sz="8" w:space="0" w:color="auto"/>
              <w:right w:val="single" w:sz="8" w:space="0" w:color="auto"/>
            </w:tcBorders>
            <w:vAlign w:val="bottom"/>
          </w:tcPr>
          <w:p w14:paraId="49C364F5" w14:textId="6AEE825F" w:rsidR="27C61343" w:rsidRDefault="27C61343" w:rsidP="27C61343">
            <w:pPr>
              <w:jc w:val="right"/>
            </w:pPr>
            <w:r w:rsidRPr="27C61343">
              <w:rPr>
                <w:rFonts w:ascii="Calibri" w:eastAsia="Calibri" w:hAnsi="Calibri" w:cs="Calibri"/>
                <w:b/>
                <w:bCs/>
              </w:rPr>
              <w:t>15853</w:t>
            </w:r>
          </w:p>
        </w:tc>
      </w:tr>
      <w:tr w:rsidR="27C61343" w14:paraId="2B52BA7B" w14:textId="77777777" w:rsidTr="007841E3">
        <w:trPr>
          <w:trHeight w:val="285"/>
        </w:trPr>
        <w:tc>
          <w:tcPr>
            <w:tcW w:w="4011" w:type="dxa"/>
            <w:tcBorders>
              <w:top w:val="single" w:sz="8" w:space="0" w:color="auto"/>
              <w:left w:val="single" w:sz="8" w:space="0" w:color="auto"/>
              <w:bottom w:val="single" w:sz="8" w:space="0" w:color="auto"/>
              <w:right w:val="single" w:sz="8" w:space="0" w:color="auto"/>
            </w:tcBorders>
            <w:vAlign w:val="bottom"/>
          </w:tcPr>
          <w:p w14:paraId="36C4CE08" w14:textId="3302A4E0" w:rsidR="27C61343" w:rsidRDefault="15B41149" w:rsidP="15B41149">
            <w:pPr>
              <w:rPr>
                <w:rFonts w:ascii="Calibri" w:eastAsia="Calibri" w:hAnsi="Calibri" w:cs="Calibri"/>
                <w:b/>
                <w:bCs/>
                <w:color w:val="000000" w:themeColor="text1"/>
              </w:rPr>
            </w:pPr>
            <w:r w:rsidRPr="15B41149">
              <w:rPr>
                <w:rFonts w:ascii="Calibri" w:eastAsia="Calibri" w:hAnsi="Calibri" w:cs="Calibri"/>
                <w:b/>
                <w:bCs/>
                <w:color w:val="000000" w:themeColor="text1"/>
              </w:rPr>
              <w:t xml:space="preserve">Total Interior Allowance, </w:t>
            </w:r>
          </w:p>
          <w:p w14:paraId="773D853A" w14:textId="6A0E5BB0" w:rsidR="27C61343" w:rsidRDefault="15B41149" w:rsidP="15B41149">
            <w:pPr>
              <w:rPr>
                <w:rFonts w:ascii="Calibri" w:eastAsia="Calibri" w:hAnsi="Calibri" w:cs="Calibri"/>
                <w:b/>
                <w:bCs/>
                <w:color w:val="000000" w:themeColor="text1"/>
              </w:rPr>
            </w:pPr>
            <w:r w:rsidRPr="15B41149">
              <w:rPr>
                <w:rFonts w:ascii="Calibri" w:eastAsia="Calibri" w:hAnsi="Calibri" w:cs="Calibri"/>
                <w:b/>
                <w:bCs/>
                <w:color w:val="000000" w:themeColor="text1"/>
              </w:rPr>
              <w:t>Building Area Method</w:t>
            </w:r>
          </w:p>
        </w:tc>
        <w:tc>
          <w:tcPr>
            <w:tcW w:w="1337" w:type="dxa"/>
            <w:tcBorders>
              <w:top w:val="single" w:sz="8" w:space="0" w:color="auto"/>
              <w:left w:val="single" w:sz="8" w:space="0" w:color="auto"/>
              <w:bottom w:val="single" w:sz="8" w:space="0" w:color="auto"/>
              <w:right w:val="single" w:sz="8" w:space="0" w:color="auto"/>
            </w:tcBorders>
            <w:vAlign w:val="bottom"/>
          </w:tcPr>
          <w:p w14:paraId="631B8AF9" w14:textId="5A663A44" w:rsidR="27C61343" w:rsidRDefault="27C61343" w:rsidP="27C61343">
            <w:pPr>
              <w:jc w:val="right"/>
            </w:pPr>
            <w:r w:rsidRPr="27C61343">
              <w:rPr>
                <w:rFonts w:ascii="Calibri" w:eastAsia="Calibri" w:hAnsi="Calibri" w:cs="Calibri"/>
                <w:color w:val="000000" w:themeColor="text1"/>
              </w:rPr>
              <w:t>0.79</w:t>
            </w:r>
          </w:p>
        </w:tc>
        <w:tc>
          <w:tcPr>
            <w:tcW w:w="1159" w:type="dxa"/>
            <w:tcBorders>
              <w:top w:val="single" w:sz="8" w:space="0" w:color="auto"/>
              <w:left w:val="single" w:sz="8" w:space="0" w:color="auto"/>
              <w:bottom w:val="single" w:sz="8" w:space="0" w:color="auto"/>
              <w:right w:val="single" w:sz="8" w:space="0" w:color="auto"/>
            </w:tcBorders>
            <w:vAlign w:val="bottom"/>
          </w:tcPr>
          <w:p w14:paraId="3F0BD855" w14:textId="40D9DED0" w:rsidR="27C61343" w:rsidRDefault="27C61343" w:rsidP="27C61343">
            <w:pPr>
              <w:jc w:val="right"/>
            </w:pPr>
            <w:r w:rsidRPr="27C61343">
              <w:rPr>
                <w:rFonts w:ascii="Calibri" w:eastAsia="Calibri" w:hAnsi="Calibri" w:cs="Calibri"/>
                <w:color w:val="000000" w:themeColor="text1"/>
              </w:rPr>
              <w:t>14670</w:t>
            </w:r>
          </w:p>
        </w:tc>
        <w:tc>
          <w:tcPr>
            <w:tcW w:w="1159" w:type="dxa"/>
            <w:tcBorders>
              <w:top w:val="single" w:sz="8" w:space="0" w:color="auto"/>
              <w:left w:val="single" w:sz="8" w:space="0" w:color="auto"/>
              <w:bottom w:val="single" w:sz="8" w:space="0" w:color="auto"/>
              <w:right w:val="single" w:sz="8" w:space="0" w:color="auto"/>
            </w:tcBorders>
            <w:vAlign w:val="bottom"/>
          </w:tcPr>
          <w:p w14:paraId="71B28D77" w14:textId="7A839372" w:rsidR="27C61343" w:rsidRDefault="27C61343" w:rsidP="27C61343">
            <w:pPr>
              <w:jc w:val="right"/>
            </w:pPr>
            <w:r w:rsidRPr="27C61343">
              <w:rPr>
                <w:rFonts w:ascii="Calibri" w:eastAsia="Calibri" w:hAnsi="Calibri" w:cs="Calibri"/>
                <w:b/>
                <w:bCs/>
                <w:color w:val="000000" w:themeColor="text1"/>
              </w:rPr>
              <w:t>11589</w:t>
            </w:r>
          </w:p>
        </w:tc>
        <w:tc>
          <w:tcPr>
            <w:tcW w:w="1694" w:type="dxa"/>
            <w:tcBorders>
              <w:top w:val="single" w:sz="8" w:space="0" w:color="auto"/>
              <w:left w:val="single" w:sz="8" w:space="0" w:color="auto"/>
              <w:bottom w:val="single" w:sz="8" w:space="0" w:color="auto"/>
              <w:right w:val="single" w:sz="8" w:space="0" w:color="auto"/>
            </w:tcBorders>
            <w:vAlign w:val="bottom"/>
          </w:tcPr>
          <w:p w14:paraId="37D20CF4" w14:textId="79322B3A" w:rsidR="27C61343" w:rsidRDefault="15B41149" w:rsidP="15B41149">
            <w:pPr>
              <w:jc w:val="right"/>
              <w:rPr>
                <w:rFonts w:ascii="Calibri" w:eastAsia="Calibri" w:hAnsi="Calibri" w:cs="Calibri"/>
                <w:color w:val="000000" w:themeColor="text1"/>
              </w:rPr>
            </w:pPr>
            <w:r w:rsidRPr="15B41149">
              <w:rPr>
                <w:rFonts w:ascii="Calibri" w:eastAsia="Calibri" w:hAnsi="Calibri" w:cs="Calibri"/>
                <w:color w:val="000000" w:themeColor="text1"/>
              </w:rPr>
              <w:t xml:space="preserve"> </w:t>
            </w:r>
          </w:p>
        </w:tc>
      </w:tr>
    </w:tbl>
    <w:p w14:paraId="7543B8AD" w14:textId="4EBFD7C1" w:rsidR="15B41149" w:rsidRDefault="15B41149" w:rsidP="15B41149">
      <w:pPr>
        <w:spacing w:line="257" w:lineRule="auto"/>
      </w:pPr>
      <w:r w:rsidRPr="15B41149">
        <w:rPr>
          <w:rFonts w:ascii="Calibri" w:eastAsia="Calibri" w:hAnsi="Calibri" w:cs="Calibri"/>
        </w:rPr>
        <w:t xml:space="preserve"> </w:t>
      </w:r>
    </w:p>
    <w:p w14:paraId="1E21CEA4" w14:textId="796190D4" w:rsidR="15B41149" w:rsidRDefault="15B41149" w:rsidP="15B41149">
      <w:pPr>
        <w:spacing w:line="257" w:lineRule="auto"/>
        <w:rPr>
          <w:rFonts w:ascii="Calibri" w:eastAsia="Calibri" w:hAnsi="Calibri" w:cs="Calibri"/>
        </w:rPr>
      </w:pPr>
      <w:r w:rsidRPr="15B41149">
        <w:rPr>
          <w:rFonts w:ascii="Calibri" w:eastAsia="Calibri" w:hAnsi="Calibri" w:cs="Calibri"/>
        </w:rPr>
        <w:t>Although all of the project spaces exhibited illuminances higher than the IES target levels used to establish the energy code LPD, the impact of providing circadian illumination was particularly acute for these two space types. If the project had continued, the design team most likely would have decided to reduce luminaire lumen packages in the support spaces and the corridors to create a WELL compliant but less consistent circadian supportive space for the occupants. The evaluation of the installation could have provided valuable information related to occupant outcomes and energy consumption that would help further streamline the design and application for the County’s workplace standards.</w:t>
      </w:r>
    </w:p>
    <w:p w14:paraId="72001657" w14:textId="0353C0F8" w:rsidR="1B4CFE49" w:rsidRDefault="15B41149" w:rsidP="27C61343">
      <w:pPr>
        <w:spacing w:line="257" w:lineRule="auto"/>
      </w:pPr>
      <w:r w:rsidRPr="15B41149">
        <w:rPr>
          <w:rFonts w:ascii="Calibri" w:eastAsia="Calibri" w:hAnsi="Calibri" w:cs="Calibri"/>
        </w:rPr>
        <w:t>Apart from interest in light and health, a key adoption criterion for solid-state lighting systems has been the vast energy savings gained over fluorescent or other incumbent technologies. For example, the fluorescent lighting system installed in this office previously had an LPD of 1.37 W/ sq ft. When the system was replaced with TLEDs, the LPD dropped to 0.64 W/ sq ft. The LPD for the 23</w:t>
      </w:r>
      <w:r w:rsidRPr="15B41149">
        <w:rPr>
          <w:rFonts w:ascii="Calibri" w:eastAsia="Calibri" w:hAnsi="Calibri" w:cs="Calibri"/>
          <w:vertAlign w:val="superscript"/>
        </w:rPr>
        <w:t>rd</w:t>
      </w:r>
      <w:r w:rsidRPr="15B41149">
        <w:rPr>
          <w:rFonts w:ascii="Calibri" w:eastAsia="Calibri" w:hAnsi="Calibri" w:cs="Calibri"/>
        </w:rPr>
        <w:t xml:space="preserve"> floor redesign stood at 1.08 W/ sq ft, which is a 64% increase from the TLED retrofit scenario, and only a 20% decrease from the fluorescent baseline. In this case, the increase in connected load is a result of attempting to meet the suggested design guidelines discussed in this document; if only redesigning for visual acuity and aesthetics the design might look differently entirely. </w:t>
      </w:r>
    </w:p>
    <w:p w14:paraId="647B0FB0" w14:textId="00967F98" w:rsidR="1B4CFE49" w:rsidRDefault="15B41149" w:rsidP="27C61343">
      <w:pPr>
        <w:spacing w:line="257" w:lineRule="auto"/>
      </w:pPr>
      <w:r w:rsidRPr="15B41149">
        <w:rPr>
          <w:rFonts w:ascii="Calibri" w:eastAsia="Calibri" w:hAnsi="Calibri" w:cs="Calibri"/>
        </w:rPr>
        <w:t>The design recommendations offer a suggested minimum duration to reduce annual energy consumption and deliver energy-intensive stimulus during certain hours of the day. The WELL Building Standard suggests a minimum duration of 4 hours per day in the morning or early afternoon, and the UL Design Guideline suggests a minimum duration of 2 hours per day, anytime between the hours of 7 a.m. and 4 p.m. Considering these scenarios, annual energy calculations were completed assuming the lighting system operated for 3,120 hours per year (12 hours per day, 5 days per week, 52 weeks per year).</w:t>
      </w:r>
    </w:p>
    <w:p w14:paraId="5C9235F3" w14:textId="77777777" w:rsidR="00F862E0" w:rsidRDefault="0068584B" w:rsidP="15B41149">
      <w:pPr>
        <w:spacing w:line="257" w:lineRule="auto"/>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first calculation creates a baseline, representing the scenarios where the lighting system is operating at full output in order to support occupant well-being. The second creates an additional baseline at a dimmed level appropriate for visual tasks. </w:t>
      </w:r>
      <w:r>
        <w:rPr>
          <w:rStyle w:val="eop"/>
          <w:rFonts w:ascii="Calibri" w:hAnsi="Calibri" w:cs="Calibri"/>
          <w:color w:val="000000"/>
          <w:shd w:val="clear" w:color="auto" w:fill="FFFFFF"/>
        </w:rPr>
        <w:t xml:space="preserve">The visual baseline was determined using simulations in the open office spaces with an additional applied light loss factor. At 40% output, the lighting system provided 414 lx on average and was considered an appropriate task plane light level for the tasks completed by the occupants. A linear dimming curve is assumed for this analysis, therefore 40% of the connected load is used to estimate annual energy consumption. </w:t>
      </w:r>
      <w:r>
        <w:rPr>
          <w:rStyle w:val="normaltextrun"/>
          <w:rFonts w:ascii="Calibri" w:hAnsi="Calibri" w:cs="Calibri"/>
          <w:color w:val="000000"/>
          <w:shd w:val="clear" w:color="auto" w:fill="FFFFFF"/>
        </w:rPr>
        <w:t xml:space="preserve">The third calculation represents the WELL scenario, where the energy intensive lighting operates for 4 hours a day and then dims to the visual baseline for the remainder of the day. The last calculation represents the UL scenario, where the energy-intensive lighting operates for 2 hours a day. </w:t>
      </w:r>
    </w:p>
    <w:p w14:paraId="403FA1F5" w14:textId="40CCE2AC" w:rsidR="15B41149" w:rsidRDefault="15B41149" w:rsidP="15B41149">
      <w:pPr>
        <w:spacing w:line="257" w:lineRule="auto"/>
        <w:rPr>
          <w:rStyle w:val="normaltextrun"/>
          <w:rFonts w:ascii="Calibri" w:hAnsi="Calibri" w:cs="Calibri"/>
          <w:color w:val="000000" w:themeColor="text1"/>
        </w:rPr>
      </w:pPr>
      <w:r w:rsidRPr="007841E3">
        <w:t>As shown in</w:t>
      </w:r>
      <w:r w:rsidR="007841E3" w:rsidRPr="007841E3">
        <w:t xml:space="preserve"> </w:t>
      </w:r>
      <w:r w:rsidR="007841E3" w:rsidRPr="007841E3">
        <w:fldChar w:fldCharType="begin"/>
      </w:r>
      <w:r w:rsidR="007841E3" w:rsidRPr="007841E3">
        <w:instrText xml:space="preserve"> REF _Ref91063843 \h </w:instrText>
      </w:r>
      <w:r w:rsidR="007841E3">
        <w:instrText xml:space="preserve"> \* MERGEFORMAT </w:instrText>
      </w:r>
      <w:r w:rsidR="007841E3" w:rsidRPr="007841E3">
        <w:fldChar w:fldCharType="separate"/>
      </w:r>
      <w:r w:rsidR="007841E3" w:rsidRPr="007841E3">
        <w:t>Table 6</w:t>
      </w:r>
      <w:r w:rsidR="007841E3" w:rsidRPr="007841E3">
        <w:fldChar w:fldCharType="end"/>
      </w:r>
      <w:r w:rsidRPr="007841E3">
        <w:t>, the annual energy usage for the visual baseline was 19,783,920 kWh. Providing high intensity stimulus for just</w:t>
      </w:r>
      <w:r w:rsidRPr="15B41149">
        <w:rPr>
          <w:rStyle w:val="normaltextrun"/>
          <w:rFonts w:ascii="Calibri" w:hAnsi="Calibri" w:cs="Calibri"/>
          <w:color w:val="000000" w:themeColor="text1"/>
        </w:rPr>
        <w:t xml:space="preserve"> 2-4 hours a day as suggested in the design recommendations increases energy consumption by 25-50%. If high intensity stimulus is delivered all day, the annual energy usage increases by 150%, totaling just under 50 million kWh. </w:t>
      </w:r>
    </w:p>
    <w:p w14:paraId="71858EC5" w14:textId="28A48719" w:rsidR="007841E3" w:rsidRPr="007841E3" w:rsidRDefault="007841E3" w:rsidP="007841E3">
      <w:pPr>
        <w:pStyle w:val="Caption"/>
        <w:keepNext/>
        <w:rPr>
          <w:b/>
          <w:bCs/>
          <w:i w:val="0"/>
          <w:iCs w:val="0"/>
          <w:color w:val="auto"/>
        </w:rPr>
      </w:pPr>
      <w:bookmarkStart w:id="29" w:name="_Ref91063843"/>
      <w:r w:rsidRPr="007841E3">
        <w:rPr>
          <w:b/>
          <w:bCs/>
          <w:i w:val="0"/>
          <w:iCs w:val="0"/>
          <w:color w:val="auto"/>
        </w:rPr>
        <w:t xml:space="preserve">Table </w:t>
      </w:r>
      <w:r w:rsidRPr="007841E3">
        <w:rPr>
          <w:b/>
          <w:bCs/>
          <w:i w:val="0"/>
          <w:iCs w:val="0"/>
          <w:color w:val="auto"/>
        </w:rPr>
        <w:fldChar w:fldCharType="begin"/>
      </w:r>
      <w:r w:rsidRPr="007841E3">
        <w:rPr>
          <w:b/>
          <w:bCs/>
          <w:i w:val="0"/>
          <w:iCs w:val="0"/>
          <w:color w:val="auto"/>
        </w:rPr>
        <w:instrText xml:space="preserve"> SEQ Table \* ARABIC </w:instrText>
      </w:r>
      <w:r w:rsidRPr="007841E3">
        <w:rPr>
          <w:b/>
          <w:bCs/>
          <w:i w:val="0"/>
          <w:iCs w:val="0"/>
          <w:color w:val="auto"/>
        </w:rPr>
        <w:fldChar w:fldCharType="separate"/>
      </w:r>
      <w:r w:rsidR="003D5FC0">
        <w:rPr>
          <w:b/>
          <w:bCs/>
          <w:i w:val="0"/>
          <w:iCs w:val="0"/>
          <w:noProof/>
          <w:color w:val="auto"/>
        </w:rPr>
        <w:t>6</w:t>
      </w:r>
      <w:r w:rsidRPr="007841E3">
        <w:rPr>
          <w:b/>
          <w:bCs/>
          <w:i w:val="0"/>
          <w:iCs w:val="0"/>
          <w:color w:val="auto"/>
        </w:rPr>
        <w:fldChar w:fldCharType="end"/>
      </w:r>
      <w:bookmarkEnd w:id="29"/>
      <w:r w:rsidRPr="007841E3">
        <w:rPr>
          <w:b/>
          <w:bCs/>
          <w:i w:val="0"/>
          <w:iCs w:val="0"/>
          <w:color w:val="auto"/>
        </w:rPr>
        <w:t xml:space="preserve">. Comparison of four potential operating scenarios. </w:t>
      </w:r>
      <w:r w:rsidRPr="007841E3">
        <w:rPr>
          <w:i w:val="0"/>
          <w:iCs w:val="0"/>
          <w:color w:val="auto"/>
        </w:rPr>
        <w:t>For all scenarios, it is assumed that the lighting system operates for 3,120 hours per year. Compared to the visual task baseline scenario operating at 40% system output for the entire year, increasing the intensity to support occupant well-being will also increase annual energy consumption between 25 and 150%.</w:t>
      </w:r>
      <w:r w:rsidRPr="007841E3">
        <w:rPr>
          <w:rStyle w:val="CommentReference"/>
          <w:i w:val="0"/>
          <w:iCs w:val="0"/>
          <w:color w:val="auto"/>
        </w:rPr>
        <w:annotationRef/>
      </w:r>
    </w:p>
    <w:tbl>
      <w:tblPr>
        <w:tblStyle w:val="TableGrid"/>
        <w:tblW w:w="9087" w:type="dxa"/>
        <w:tblLayout w:type="fixed"/>
        <w:tblLook w:val="04A0" w:firstRow="1" w:lastRow="0" w:firstColumn="1" w:lastColumn="0" w:noHBand="0" w:noVBand="1"/>
      </w:tblPr>
      <w:tblGrid>
        <w:gridCol w:w="2245"/>
        <w:gridCol w:w="1290"/>
        <w:gridCol w:w="1290"/>
        <w:gridCol w:w="1290"/>
        <w:gridCol w:w="1620"/>
        <w:gridCol w:w="1352"/>
      </w:tblGrid>
      <w:tr w:rsidR="00B51A24" w:rsidRPr="00624336" w14:paraId="30958FA8" w14:textId="77777777" w:rsidTr="003D5FC0">
        <w:trPr>
          <w:trHeight w:val="260"/>
        </w:trPr>
        <w:tc>
          <w:tcPr>
            <w:tcW w:w="2245" w:type="dxa"/>
            <w:vMerge w:val="restart"/>
            <w:noWrap/>
            <w:vAlign w:val="bottom"/>
            <w:hideMark/>
          </w:tcPr>
          <w:p w14:paraId="0382A18C" w14:textId="77777777" w:rsidR="00624336" w:rsidRPr="00624336" w:rsidRDefault="15B41149" w:rsidP="003D5FC0">
            <w:pPr>
              <w:jc w:val="center"/>
              <w:rPr>
                <w:rFonts w:ascii="Calibri" w:eastAsia="Times New Roman" w:hAnsi="Calibri" w:cs="Calibri"/>
                <w:b/>
                <w:bCs/>
                <w:color w:val="000000"/>
              </w:rPr>
            </w:pPr>
            <w:r w:rsidRPr="15B41149">
              <w:rPr>
                <w:rFonts w:ascii="Calibri" w:eastAsia="Times New Roman" w:hAnsi="Calibri" w:cs="Calibri"/>
                <w:b/>
                <w:bCs/>
                <w:color w:val="000000" w:themeColor="text1"/>
              </w:rPr>
              <w:t>Operating Scenario</w:t>
            </w:r>
          </w:p>
        </w:tc>
        <w:tc>
          <w:tcPr>
            <w:tcW w:w="3870" w:type="dxa"/>
            <w:gridSpan w:val="3"/>
            <w:noWrap/>
            <w:vAlign w:val="bottom"/>
            <w:hideMark/>
          </w:tcPr>
          <w:p w14:paraId="457C3573" w14:textId="77777777" w:rsidR="00624336" w:rsidRPr="00624336" w:rsidRDefault="00624336" w:rsidP="003D5FC0">
            <w:pPr>
              <w:jc w:val="center"/>
              <w:rPr>
                <w:rFonts w:ascii="Calibri" w:eastAsia="Times New Roman" w:hAnsi="Calibri" w:cs="Calibri"/>
                <w:b/>
                <w:bCs/>
                <w:color w:val="000000"/>
              </w:rPr>
            </w:pPr>
            <w:r w:rsidRPr="00624336">
              <w:rPr>
                <w:rFonts w:ascii="Calibri" w:eastAsia="Times New Roman" w:hAnsi="Calibri" w:cs="Calibri"/>
                <w:b/>
                <w:bCs/>
                <w:color w:val="000000"/>
              </w:rPr>
              <w:t>Annual Operating Hours</w:t>
            </w:r>
          </w:p>
        </w:tc>
        <w:tc>
          <w:tcPr>
            <w:tcW w:w="1620" w:type="dxa"/>
            <w:vMerge w:val="restart"/>
            <w:vAlign w:val="bottom"/>
            <w:hideMark/>
          </w:tcPr>
          <w:p w14:paraId="491B6274" w14:textId="77777777" w:rsidR="00624336" w:rsidRPr="00624336" w:rsidRDefault="00624336" w:rsidP="003D5FC0">
            <w:pPr>
              <w:jc w:val="center"/>
              <w:rPr>
                <w:rFonts w:ascii="Calibri" w:eastAsia="Times New Roman" w:hAnsi="Calibri" w:cs="Calibri"/>
                <w:b/>
                <w:bCs/>
                <w:color w:val="000000"/>
              </w:rPr>
            </w:pPr>
            <w:r w:rsidRPr="00624336">
              <w:rPr>
                <w:rFonts w:ascii="Calibri" w:eastAsia="Times New Roman" w:hAnsi="Calibri" w:cs="Calibri"/>
                <w:b/>
                <w:bCs/>
                <w:color w:val="000000"/>
              </w:rPr>
              <w:t>Annual Energy Usage (kWh)</w:t>
            </w:r>
          </w:p>
        </w:tc>
        <w:tc>
          <w:tcPr>
            <w:tcW w:w="1352" w:type="dxa"/>
            <w:vMerge w:val="restart"/>
            <w:vAlign w:val="bottom"/>
            <w:hideMark/>
          </w:tcPr>
          <w:p w14:paraId="3A9CE8A3" w14:textId="77777777" w:rsidR="00624336" w:rsidRPr="00624336" w:rsidRDefault="00624336" w:rsidP="003D5FC0">
            <w:pPr>
              <w:jc w:val="center"/>
              <w:rPr>
                <w:rFonts w:ascii="Calibri" w:eastAsia="Times New Roman" w:hAnsi="Calibri" w:cs="Calibri"/>
                <w:b/>
                <w:bCs/>
                <w:color w:val="000000"/>
              </w:rPr>
            </w:pPr>
            <w:r w:rsidRPr="00624336">
              <w:rPr>
                <w:rFonts w:ascii="Calibri" w:eastAsia="Times New Roman" w:hAnsi="Calibri" w:cs="Calibri"/>
                <w:b/>
                <w:bCs/>
                <w:color w:val="000000"/>
              </w:rPr>
              <w:t>% Increase from Visual Baseline</w:t>
            </w:r>
          </w:p>
        </w:tc>
      </w:tr>
      <w:tr w:rsidR="00975C53" w:rsidRPr="00624336" w14:paraId="21787A4F" w14:textId="77777777" w:rsidTr="003D5FC0">
        <w:trPr>
          <w:trHeight w:val="260"/>
        </w:trPr>
        <w:tc>
          <w:tcPr>
            <w:tcW w:w="2245" w:type="dxa"/>
            <w:vMerge/>
            <w:hideMark/>
          </w:tcPr>
          <w:p w14:paraId="74B4DCB8" w14:textId="77777777" w:rsidR="00624336" w:rsidRPr="00624336" w:rsidRDefault="00624336" w:rsidP="00624336">
            <w:pPr>
              <w:rPr>
                <w:rFonts w:ascii="Calibri" w:eastAsia="Times New Roman" w:hAnsi="Calibri" w:cs="Calibri"/>
                <w:b/>
                <w:bCs/>
                <w:color w:val="000000"/>
              </w:rPr>
            </w:pPr>
          </w:p>
        </w:tc>
        <w:tc>
          <w:tcPr>
            <w:tcW w:w="1290" w:type="dxa"/>
            <w:noWrap/>
            <w:vAlign w:val="bottom"/>
            <w:hideMark/>
          </w:tcPr>
          <w:p w14:paraId="598483FD" w14:textId="77777777" w:rsidR="00624336" w:rsidRPr="00624336" w:rsidRDefault="00624336" w:rsidP="003D5FC0">
            <w:pPr>
              <w:jc w:val="center"/>
              <w:rPr>
                <w:rFonts w:ascii="Calibri" w:eastAsia="Times New Roman" w:hAnsi="Calibri" w:cs="Calibri"/>
                <w:b/>
                <w:bCs/>
                <w:color w:val="000000"/>
              </w:rPr>
            </w:pPr>
            <w:r w:rsidRPr="00624336">
              <w:rPr>
                <w:rFonts w:ascii="Calibri" w:eastAsia="Times New Roman" w:hAnsi="Calibri" w:cs="Calibri"/>
                <w:b/>
                <w:bCs/>
                <w:color w:val="000000"/>
              </w:rPr>
              <w:t>100% Output</w:t>
            </w:r>
          </w:p>
        </w:tc>
        <w:tc>
          <w:tcPr>
            <w:tcW w:w="1290" w:type="dxa"/>
            <w:noWrap/>
            <w:vAlign w:val="bottom"/>
            <w:hideMark/>
          </w:tcPr>
          <w:p w14:paraId="4BC87892" w14:textId="77777777" w:rsidR="00624336" w:rsidRPr="00624336" w:rsidRDefault="00624336" w:rsidP="003D5FC0">
            <w:pPr>
              <w:jc w:val="center"/>
              <w:rPr>
                <w:rFonts w:ascii="Calibri" w:eastAsia="Times New Roman" w:hAnsi="Calibri" w:cs="Calibri"/>
                <w:b/>
                <w:bCs/>
                <w:color w:val="000000"/>
              </w:rPr>
            </w:pPr>
            <w:r w:rsidRPr="00624336">
              <w:rPr>
                <w:rFonts w:ascii="Calibri" w:eastAsia="Times New Roman" w:hAnsi="Calibri" w:cs="Calibri"/>
                <w:b/>
                <w:bCs/>
                <w:color w:val="000000"/>
              </w:rPr>
              <w:t>40% Output</w:t>
            </w:r>
          </w:p>
        </w:tc>
        <w:tc>
          <w:tcPr>
            <w:tcW w:w="1290" w:type="dxa"/>
            <w:noWrap/>
            <w:vAlign w:val="bottom"/>
            <w:hideMark/>
          </w:tcPr>
          <w:p w14:paraId="64C655F3" w14:textId="77777777" w:rsidR="00624336" w:rsidRPr="00624336" w:rsidRDefault="00624336" w:rsidP="003D5FC0">
            <w:pPr>
              <w:jc w:val="center"/>
              <w:rPr>
                <w:rFonts w:ascii="Calibri" w:eastAsia="Times New Roman" w:hAnsi="Calibri" w:cs="Calibri"/>
                <w:b/>
                <w:bCs/>
                <w:color w:val="000000"/>
              </w:rPr>
            </w:pPr>
            <w:r w:rsidRPr="00624336">
              <w:rPr>
                <w:rFonts w:ascii="Calibri" w:eastAsia="Times New Roman" w:hAnsi="Calibri" w:cs="Calibri"/>
                <w:b/>
                <w:bCs/>
                <w:color w:val="000000"/>
              </w:rPr>
              <w:t>Total</w:t>
            </w:r>
          </w:p>
        </w:tc>
        <w:tc>
          <w:tcPr>
            <w:tcW w:w="1620" w:type="dxa"/>
            <w:vMerge/>
            <w:hideMark/>
          </w:tcPr>
          <w:p w14:paraId="27DC2E1C" w14:textId="77777777" w:rsidR="00624336" w:rsidRPr="00624336" w:rsidRDefault="00624336" w:rsidP="00624336">
            <w:pPr>
              <w:rPr>
                <w:rFonts w:ascii="Calibri" w:eastAsia="Times New Roman" w:hAnsi="Calibri" w:cs="Calibri"/>
                <w:b/>
                <w:bCs/>
                <w:color w:val="000000"/>
              </w:rPr>
            </w:pPr>
          </w:p>
        </w:tc>
        <w:tc>
          <w:tcPr>
            <w:tcW w:w="1352" w:type="dxa"/>
            <w:vMerge/>
            <w:hideMark/>
          </w:tcPr>
          <w:p w14:paraId="44E1B20D" w14:textId="77777777" w:rsidR="00624336" w:rsidRPr="00624336" w:rsidRDefault="00624336" w:rsidP="00624336">
            <w:pPr>
              <w:rPr>
                <w:rFonts w:ascii="Calibri" w:eastAsia="Times New Roman" w:hAnsi="Calibri" w:cs="Calibri"/>
                <w:b/>
                <w:bCs/>
                <w:color w:val="000000"/>
              </w:rPr>
            </w:pPr>
          </w:p>
        </w:tc>
      </w:tr>
      <w:tr w:rsidR="00975C53" w:rsidRPr="00624336" w14:paraId="46781D60" w14:textId="77777777" w:rsidTr="003D5FC0">
        <w:trPr>
          <w:trHeight w:val="260"/>
        </w:trPr>
        <w:tc>
          <w:tcPr>
            <w:tcW w:w="2245" w:type="dxa"/>
            <w:noWrap/>
            <w:hideMark/>
          </w:tcPr>
          <w:p w14:paraId="25F8FD85" w14:textId="53FDE40D" w:rsidR="00624336" w:rsidRPr="00624336" w:rsidRDefault="15B41149" w:rsidP="15B41149">
            <w:pPr>
              <w:rPr>
                <w:rFonts w:ascii="Calibri" w:eastAsia="Times New Roman" w:hAnsi="Calibri" w:cs="Calibri"/>
                <w:color w:val="000000" w:themeColor="text1"/>
              </w:rPr>
            </w:pPr>
            <w:r w:rsidRPr="15B41149">
              <w:rPr>
                <w:rFonts w:ascii="Calibri" w:eastAsia="Times New Roman" w:hAnsi="Calibri" w:cs="Calibri"/>
                <w:color w:val="000000" w:themeColor="text1"/>
              </w:rPr>
              <w:t>High Intensity Baseline</w:t>
            </w:r>
          </w:p>
        </w:tc>
        <w:tc>
          <w:tcPr>
            <w:tcW w:w="1290" w:type="dxa"/>
            <w:noWrap/>
            <w:hideMark/>
          </w:tcPr>
          <w:p w14:paraId="5C22A278"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3120</w:t>
            </w:r>
          </w:p>
        </w:tc>
        <w:tc>
          <w:tcPr>
            <w:tcW w:w="1290" w:type="dxa"/>
            <w:noWrap/>
            <w:hideMark/>
          </w:tcPr>
          <w:p w14:paraId="37BFB68D"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0</w:t>
            </w:r>
          </w:p>
        </w:tc>
        <w:tc>
          <w:tcPr>
            <w:tcW w:w="1290" w:type="dxa"/>
            <w:noWrap/>
            <w:hideMark/>
          </w:tcPr>
          <w:p w14:paraId="50CB1AB6"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3120</w:t>
            </w:r>
          </w:p>
        </w:tc>
        <w:tc>
          <w:tcPr>
            <w:tcW w:w="1620" w:type="dxa"/>
            <w:noWrap/>
            <w:hideMark/>
          </w:tcPr>
          <w:p w14:paraId="1ACC89A4" w14:textId="392057C7" w:rsidR="00624336" w:rsidRPr="00624336" w:rsidRDefault="2EA730E5" w:rsidP="00624336">
            <w:pPr>
              <w:jc w:val="right"/>
              <w:rPr>
                <w:rFonts w:ascii="Calibri" w:eastAsia="Times New Roman" w:hAnsi="Calibri" w:cs="Calibri"/>
                <w:color w:val="000000"/>
              </w:rPr>
            </w:pPr>
            <w:r w:rsidRPr="45DB48C2">
              <w:rPr>
                <w:rFonts w:ascii="Calibri" w:eastAsia="Times New Roman" w:hAnsi="Calibri" w:cs="Calibri"/>
                <w:color w:val="000000" w:themeColor="text1"/>
              </w:rPr>
              <w:t>49</w:t>
            </w:r>
            <w:r w:rsidR="107F4879" w:rsidRPr="45DB48C2">
              <w:rPr>
                <w:rFonts w:ascii="Calibri" w:eastAsia="Times New Roman" w:hAnsi="Calibri" w:cs="Calibri"/>
                <w:color w:val="000000" w:themeColor="text1"/>
              </w:rPr>
              <w:t>,</w:t>
            </w:r>
            <w:r w:rsidRPr="45DB48C2">
              <w:rPr>
                <w:rFonts w:ascii="Calibri" w:eastAsia="Times New Roman" w:hAnsi="Calibri" w:cs="Calibri"/>
                <w:color w:val="000000" w:themeColor="text1"/>
              </w:rPr>
              <w:t>461</w:t>
            </w:r>
            <w:r w:rsidR="0C3D6343" w:rsidRPr="45DB48C2">
              <w:rPr>
                <w:rFonts w:ascii="Calibri" w:eastAsia="Times New Roman" w:hAnsi="Calibri" w:cs="Calibri"/>
                <w:color w:val="000000" w:themeColor="text1"/>
              </w:rPr>
              <w:t>,</w:t>
            </w:r>
            <w:r w:rsidRPr="45DB48C2">
              <w:rPr>
                <w:rFonts w:ascii="Calibri" w:eastAsia="Times New Roman" w:hAnsi="Calibri" w:cs="Calibri"/>
                <w:color w:val="000000" w:themeColor="text1"/>
              </w:rPr>
              <w:t>360</w:t>
            </w:r>
          </w:p>
        </w:tc>
        <w:tc>
          <w:tcPr>
            <w:tcW w:w="1352" w:type="dxa"/>
            <w:noWrap/>
            <w:hideMark/>
          </w:tcPr>
          <w:p w14:paraId="33C92408"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150</w:t>
            </w:r>
          </w:p>
        </w:tc>
      </w:tr>
      <w:tr w:rsidR="00975C53" w:rsidRPr="00624336" w14:paraId="55313C51" w14:textId="77777777" w:rsidTr="003D5FC0">
        <w:trPr>
          <w:trHeight w:val="260"/>
        </w:trPr>
        <w:tc>
          <w:tcPr>
            <w:tcW w:w="2245" w:type="dxa"/>
            <w:noWrap/>
            <w:hideMark/>
          </w:tcPr>
          <w:p w14:paraId="090BB6E2" w14:textId="77777777" w:rsidR="00624336" w:rsidRPr="00624336" w:rsidRDefault="00624336" w:rsidP="00624336">
            <w:pPr>
              <w:rPr>
                <w:rFonts w:ascii="Calibri" w:eastAsia="Times New Roman" w:hAnsi="Calibri" w:cs="Calibri"/>
                <w:color w:val="000000"/>
              </w:rPr>
            </w:pPr>
            <w:r w:rsidRPr="00624336">
              <w:rPr>
                <w:rFonts w:ascii="Calibri" w:eastAsia="Times New Roman" w:hAnsi="Calibri" w:cs="Calibri"/>
                <w:color w:val="000000"/>
              </w:rPr>
              <w:t xml:space="preserve">WELL </w:t>
            </w:r>
          </w:p>
        </w:tc>
        <w:tc>
          <w:tcPr>
            <w:tcW w:w="1290" w:type="dxa"/>
            <w:noWrap/>
            <w:hideMark/>
          </w:tcPr>
          <w:p w14:paraId="2173A8C3"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1040</w:t>
            </w:r>
          </w:p>
        </w:tc>
        <w:tc>
          <w:tcPr>
            <w:tcW w:w="1290" w:type="dxa"/>
            <w:noWrap/>
            <w:hideMark/>
          </w:tcPr>
          <w:p w14:paraId="6D1DFE34"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2080</w:t>
            </w:r>
          </w:p>
        </w:tc>
        <w:tc>
          <w:tcPr>
            <w:tcW w:w="1290" w:type="dxa"/>
            <w:noWrap/>
            <w:hideMark/>
          </w:tcPr>
          <w:p w14:paraId="32AE0807"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3120</w:t>
            </w:r>
          </w:p>
        </w:tc>
        <w:tc>
          <w:tcPr>
            <w:tcW w:w="1620" w:type="dxa"/>
            <w:noWrap/>
            <w:hideMark/>
          </w:tcPr>
          <w:p w14:paraId="5976C730" w14:textId="44E6A261" w:rsidR="00624336" w:rsidRPr="00624336" w:rsidRDefault="2EA730E5" w:rsidP="00624336">
            <w:pPr>
              <w:jc w:val="right"/>
              <w:rPr>
                <w:rFonts w:ascii="Calibri" w:eastAsia="Times New Roman" w:hAnsi="Calibri" w:cs="Calibri"/>
                <w:color w:val="000000"/>
              </w:rPr>
            </w:pPr>
            <w:r w:rsidRPr="45DB48C2">
              <w:rPr>
                <w:rFonts w:ascii="Calibri" w:eastAsia="Times New Roman" w:hAnsi="Calibri" w:cs="Calibri"/>
                <w:color w:val="000000" w:themeColor="text1"/>
              </w:rPr>
              <w:t>29</w:t>
            </w:r>
            <w:r w:rsidR="107F4879" w:rsidRPr="45DB48C2">
              <w:rPr>
                <w:rFonts w:ascii="Calibri" w:eastAsia="Times New Roman" w:hAnsi="Calibri" w:cs="Calibri"/>
                <w:color w:val="000000" w:themeColor="text1"/>
              </w:rPr>
              <w:t>,</w:t>
            </w:r>
            <w:r w:rsidRPr="45DB48C2">
              <w:rPr>
                <w:rFonts w:ascii="Calibri" w:eastAsia="Times New Roman" w:hAnsi="Calibri" w:cs="Calibri"/>
                <w:color w:val="000000" w:themeColor="text1"/>
              </w:rPr>
              <w:t>676</w:t>
            </w:r>
            <w:r w:rsidR="55D76942" w:rsidRPr="45DB48C2">
              <w:rPr>
                <w:rFonts w:ascii="Calibri" w:eastAsia="Times New Roman" w:hAnsi="Calibri" w:cs="Calibri"/>
                <w:color w:val="000000" w:themeColor="text1"/>
              </w:rPr>
              <w:t>,</w:t>
            </w:r>
            <w:r w:rsidRPr="45DB48C2">
              <w:rPr>
                <w:rFonts w:ascii="Calibri" w:eastAsia="Times New Roman" w:hAnsi="Calibri" w:cs="Calibri"/>
                <w:color w:val="000000" w:themeColor="text1"/>
              </w:rPr>
              <w:t>400</w:t>
            </w:r>
          </w:p>
        </w:tc>
        <w:tc>
          <w:tcPr>
            <w:tcW w:w="1352" w:type="dxa"/>
            <w:noWrap/>
            <w:hideMark/>
          </w:tcPr>
          <w:p w14:paraId="3CC463B0"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50</w:t>
            </w:r>
          </w:p>
        </w:tc>
      </w:tr>
      <w:tr w:rsidR="00975C53" w:rsidRPr="00624336" w14:paraId="5D3B06C7" w14:textId="77777777" w:rsidTr="003D5FC0">
        <w:trPr>
          <w:trHeight w:val="260"/>
        </w:trPr>
        <w:tc>
          <w:tcPr>
            <w:tcW w:w="2245" w:type="dxa"/>
            <w:noWrap/>
            <w:hideMark/>
          </w:tcPr>
          <w:p w14:paraId="5CE3C00C" w14:textId="77777777" w:rsidR="00624336" w:rsidRPr="00624336" w:rsidRDefault="00624336" w:rsidP="00624336">
            <w:pPr>
              <w:rPr>
                <w:rFonts w:ascii="Calibri" w:eastAsia="Times New Roman" w:hAnsi="Calibri" w:cs="Calibri"/>
                <w:color w:val="000000"/>
              </w:rPr>
            </w:pPr>
            <w:r w:rsidRPr="00624336">
              <w:rPr>
                <w:rFonts w:ascii="Calibri" w:eastAsia="Times New Roman" w:hAnsi="Calibri" w:cs="Calibri"/>
                <w:color w:val="000000"/>
              </w:rPr>
              <w:t>UL</w:t>
            </w:r>
          </w:p>
        </w:tc>
        <w:tc>
          <w:tcPr>
            <w:tcW w:w="1290" w:type="dxa"/>
            <w:noWrap/>
            <w:hideMark/>
          </w:tcPr>
          <w:p w14:paraId="284B7749"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520</w:t>
            </w:r>
          </w:p>
        </w:tc>
        <w:tc>
          <w:tcPr>
            <w:tcW w:w="1290" w:type="dxa"/>
            <w:noWrap/>
            <w:hideMark/>
          </w:tcPr>
          <w:p w14:paraId="722BE6B6"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2600</w:t>
            </w:r>
          </w:p>
        </w:tc>
        <w:tc>
          <w:tcPr>
            <w:tcW w:w="1290" w:type="dxa"/>
            <w:noWrap/>
            <w:hideMark/>
          </w:tcPr>
          <w:p w14:paraId="193EC0FE"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3210</w:t>
            </w:r>
          </w:p>
        </w:tc>
        <w:tc>
          <w:tcPr>
            <w:tcW w:w="1620" w:type="dxa"/>
            <w:noWrap/>
            <w:hideMark/>
          </w:tcPr>
          <w:p w14:paraId="177E80E8" w14:textId="42360064" w:rsidR="00624336" w:rsidRPr="00624336" w:rsidRDefault="2EA730E5" w:rsidP="00624336">
            <w:pPr>
              <w:jc w:val="right"/>
              <w:rPr>
                <w:rFonts w:ascii="Calibri" w:eastAsia="Times New Roman" w:hAnsi="Calibri" w:cs="Calibri"/>
                <w:color w:val="000000"/>
              </w:rPr>
            </w:pPr>
            <w:r w:rsidRPr="45DB48C2">
              <w:rPr>
                <w:rFonts w:ascii="Calibri" w:eastAsia="Times New Roman" w:hAnsi="Calibri" w:cs="Calibri"/>
                <w:color w:val="000000" w:themeColor="text1"/>
              </w:rPr>
              <w:t>24</w:t>
            </w:r>
            <w:r w:rsidR="02B853C6" w:rsidRPr="45DB48C2">
              <w:rPr>
                <w:rFonts w:ascii="Calibri" w:eastAsia="Times New Roman" w:hAnsi="Calibri" w:cs="Calibri"/>
                <w:color w:val="000000" w:themeColor="text1"/>
              </w:rPr>
              <w:t>,</w:t>
            </w:r>
            <w:r w:rsidRPr="45DB48C2">
              <w:rPr>
                <w:rFonts w:ascii="Calibri" w:eastAsia="Times New Roman" w:hAnsi="Calibri" w:cs="Calibri"/>
                <w:color w:val="000000" w:themeColor="text1"/>
              </w:rPr>
              <w:t>730</w:t>
            </w:r>
            <w:r w:rsidR="4F27508C" w:rsidRPr="45DB48C2">
              <w:rPr>
                <w:rFonts w:ascii="Calibri" w:eastAsia="Times New Roman" w:hAnsi="Calibri" w:cs="Calibri"/>
                <w:color w:val="000000" w:themeColor="text1"/>
              </w:rPr>
              <w:t>,</w:t>
            </w:r>
            <w:r w:rsidRPr="45DB48C2">
              <w:rPr>
                <w:rFonts w:ascii="Calibri" w:eastAsia="Times New Roman" w:hAnsi="Calibri" w:cs="Calibri"/>
                <w:color w:val="000000" w:themeColor="text1"/>
              </w:rPr>
              <w:t>160</w:t>
            </w:r>
          </w:p>
        </w:tc>
        <w:tc>
          <w:tcPr>
            <w:tcW w:w="1352" w:type="dxa"/>
            <w:noWrap/>
            <w:hideMark/>
          </w:tcPr>
          <w:p w14:paraId="6B23F355"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25</w:t>
            </w:r>
          </w:p>
        </w:tc>
      </w:tr>
      <w:tr w:rsidR="00975C53" w:rsidRPr="00624336" w14:paraId="2A4587D0" w14:textId="77777777" w:rsidTr="003D5FC0">
        <w:trPr>
          <w:trHeight w:val="260"/>
        </w:trPr>
        <w:tc>
          <w:tcPr>
            <w:tcW w:w="2245" w:type="dxa"/>
            <w:noWrap/>
            <w:hideMark/>
          </w:tcPr>
          <w:p w14:paraId="3C7FE6B8" w14:textId="17AC2AC3" w:rsidR="00624336" w:rsidRPr="00624336" w:rsidRDefault="15B41149" w:rsidP="00624336">
            <w:pPr>
              <w:rPr>
                <w:rFonts w:ascii="Calibri" w:eastAsia="Times New Roman" w:hAnsi="Calibri" w:cs="Calibri"/>
                <w:color w:val="000000"/>
              </w:rPr>
            </w:pPr>
            <w:r w:rsidRPr="15B41149">
              <w:rPr>
                <w:rFonts w:ascii="Calibri" w:eastAsia="Times New Roman" w:hAnsi="Calibri" w:cs="Calibri"/>
                <w:color w:val="000000" w:themeColor="text1"/>
              </w:rPr>
              <w:t>Visual Task Baseline</w:t>
            </w:r>
          </w:p>
        </w:tc>
        <w:tc>
          <w:tcPr>
            <w:tcW w:w="1290" w:type="dxa"/>
            <w:noWrap/>
            <w:hideMark/>
          </w:tcPr>
          <w:p w14:paraId="11C3064D"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0</w:t>
            </w:r>
          </w:p>
        </w:tc>
        <w:tc>
          <w:tcPr>
            <w:tcW w:w="1290" w:type="dxa"/>
            <w:noWrap/>
            <w:hideMark/>
          </w:tcPr>
          <w:p w14:paraId="01D56934"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3120</w:t>
            </w:r>
          </w:p>
        </w:tc>
        <w:tc>
          <w:tcPr>
            <w:tcW w:w="1290" w:type="dxa"/>
            <w:noWrap/>
            <w:hideMark/>
          </w:tcPr>
          <w:p w14:paraId="7331B053" w14:textId="77777777" w:rsidR="00624336" w:rsidRPr="00624336" w:rsidRDefault="00624336" w:rsidP="00624336">
            <w:pPr>
              <w:jc w:val="right"/>
              <w:rPr>
                <w:rFonts w:ascii="Calibri" w:eastAsia="Times New Roman" w:hAnsi="Calibri" w:cs="Calibri"/>
                <w:color w:val="000000"/>
              </w:rPr>
            </w:pPr>
            <w:r w:rsidRPr="00624336">
              <w:rPr>
                <w:rFonts w:ascii="Calibri" w:eastAsia="Times New Roman" w:hAnsi="Calibri" w:cs="Calibri"/>
                <w:color w:val="000000"/>
              </w:rPr>
              <w:t>3120</w:t>
            </w:r>
          </w:p>
        </w:tc>
        <w:tc>
          <w:tcPr>
            <w:tcW w:w="1620" w:type="dxa"/>
            <w:noWrap/>
            <w:hideMark/>
          </w:tcPr>
          <w:p w14:paraId="54466873" w14:textId="7F2E0537" w:rsidR="00624336" w:rsidRPr="00624336" w:rsidRDefault="2EA730E5" w:rsidP="00624336">
            <w:pPr>
              <w:jc w:val="right"/>
              <w:rPr>
                <w:rFonts w:ascii="Calibri" w:eastAsia="Times New Roman" w:hAnsi="Calibri" w:cs="Calibri"/>
                <w:color w:val="000000"/>
              </w:rPr>
            </w:pPr>
            <w:r w:rsidRPr="45DB48C2">
              <w:rPr>
                <w:rFonts w:ascii="Calibri" w:eastAsia="Times New Roman" w:hAnsi="Calibri" w:cs="Calibri"/>
                <w:color w:val="000000" w:themeColor="text1"/>
              </w:rPr>
              <w:t>19</w:t>
            </w:r>
            <w:r w:rsidR="04737448" w:rsidRPr="45DB48C2">
              <w:rPr>
                <w:rFonts w:ascii="Calibri" w:eastAsia="Times New Roman" w:hAnsi="Calibri" w:cs="Calibri"/>
                <w:color w:val="000000" w:themeColor="text1"/>
              </w:rPr>
              <w:t>,</w:t>
            </w:r>
            <w:r w:rsidRPr="45DB48C2">
              <w:rPr>
                <w:rFonts w:ascii="Calibri" w:eastAsia="Times New Roman" w:hAnsi="Calibri" w:cs="Calibri"/>
                <w:color w:val="000000" w:themeColor="text1"/>
              </w:rPr>
              <w:t>783</w:t>
            </w:r>
            <w:r w:rsidR="0AC7D8BF" w:rsidRPr="45DB48C2">
              <w:rPr>
                <w:rFonts w:ascii="Calibri" w:eastAsia="Times New Roman" w:hAnsi="Calibri" w:cs="Calibri"/>
                <w:color w:val="000000" w:themeColor="text1"/>
              </w:rPr>
              <w:t>,</w:t>
            </w:r>
            <w:r w:rsidRPr="45DB48C2">
              <w:rPr>
                <w:rFonts w:ascii="Calibri" w:eastAsia="Times New Roman" w:hAnsi="Calibri" w:cs="Calibri"/>
                <w:color w:val="000000" w:themeColor="text1"/>
              </w:rPr>
              <w:t>920</w:t>
            </w:r>
          </w:p>
        </w:tc>
        <w:tc>
          <w:tcPr>
            <w:tcW w:w="1352" w:type="dxa"/>
            <w:noWrap/>
            <w:hideMark/>
          </w:tcPr>
          <w:p w14:paraId="2C21DDC5" w14:textId="77777777" w:rsidR="00624336" w:rsidRPr="00624336" w:rsidRDefault="15B41149" w:rsidP="00624336">
            <w:pPr>
              <w:jc w:val="right"/>
              <w:rPr>
                <w:rFonts w:ascii="Calibri" w:eastAsia="Times New Roman" w:hAnsi="Calibri" w:cs="Calibri"/>
                <w:color w:val="000000"/>
              </w:rPr>
            </w:pPr>
            <w:r w:rsidRPr="15B41149">
              <w:rPr>
                <w:rFonts w:ascii="Calibri" w:eastAsia="Times New Roman" w:hAnsi="Calibri" w:cs="Calibri"/>
                <w:color w:val="000000" w:themeColor="text1"/>
              </w:rPr>
              <w:t>--</w:t>
            </w:r>
          </w:p>
        </w:tc>
      </w:tr>
    </w:tbl>
    <w:p w14:paraId="78928236" w14:textId="77777777" w:rsidR="00624336" w:rsidRDefault="00624336" w:rsidP="0068584B">
      <w:pPr>
        <w:rPr>
          <w:rStyle w:val="eop"/>
          <w:rFonts w:ascii="Calibri" w:hAnsi="Calibri" w:cs="Calibri"/>
          <w:color w:val="000000"/>
          <w:shd w:val="clear" w:color="auto" w:fill="FFFFFF"/>
        </w:rPr>
      </w:pPr>
    </w:p>
    <w:p w14:paraId="56308985" w14:textId="3BEE1563" w:rsidR="1B4CFE49" w:rsidRDefault="1B4CFE49" w:rsidP="1B4CFE49">
      <w:pPr>
        <w:pStyle w:val="Heading1"/>
        <w:rPr>
          <w:rFonts w:ascii="Calibri Light" w:hAnsi="Calibri Light"/>
        </w:rPr>
      </w:pPr>
      <w:r w:rsidRPr="1B4CFE49">
        <w:rPr>
          <w:rFonts w:ascii="Calibri Light" w:hAnsi="Calibri Light"/>
        </w:rPr>
        <w:t>Conclusion</w:t>
      </w:r>
    </w:p>
    <w:p w14:paraId="37B75274" w14:textId="75ECF14A" w:rsidR="004934F2" w:rsidRPr="004934F2" w:rsidRDefault="004934F2" w:rsidP="004934F2">
      <w:r>
        <w:t>This report detailed lighting design process through design development, with summaries of the relevant circadian lighting metrics, simulation tools, energy considerations, and research plan for the Circadian Lighting Pilot Project. Due to the global pandemic, the Circadian Pilot Project was concluded after the design development phase however, several key results and lessons emerged from the Circadian Lighting Pilot Project, as summarized below.</w:t>
      </w:r>
    </w:p>
    <w:p w14:paraId="70ED28A7" w14:textId="070AFA9B" w:rsidR="1B4CFE49" w:rsidRDefault="27C61343" w:rsidP="1B4CFE49">
      <w:pPr>
        <w:pStyle w:val="Heading3"/>
        <w:rPr>
          <w:rFonts w:ascii="Calibri Light" w:hAnsi="Calibri Light"/>
          <w:color w:val="1F3763"/>
        </w:rPr>
      </w:pPr>
      <w:r w:rsidRPr="27C61343">
        <w:rPr>
          <w:rFonts w:ascii="Calibri Light" w:hAnsi="Calibri Light"/>
          <w:color w:val="1F3763"/>
        </w:rPr>
        <w:t xml:space="preserve">Key </w:t>
      </w:r>
      <w:r w:rsidR="004934F2">
        <w:rPr>
          <w:rFonts w:ascii="Calibri Light" w:hAnsi="Calibri Light"/>
          <w:color w:val="1F3763"/>
        </w:rPr>
        <w:t>Results</w:t>
      </w:r>
      <w:r w:rsidRPr="27C61343">
        <w:rPr>
          <w:rFonts w:ascii="Calibri Light" w:hAnsi="Calibri Light"/>
          <w:color w:val="1F3763"/>
        </w:rPr>
        <w:t>:</w:t>
      </w:r>
    </w:p>
    <w:p w14:paraId="413913B8" w14:textId="4D6C1083" w:rsidR="004934F2" w:rsidRDefault="004934F2" w:rsidP="00E85159">
      <w:pPr>
        <w:pStyle w:val="ListParagraph"/>
        <w:numPr>
          <w:ilvl w:val="0"/>
          <w:numId w:val="14"/>
        </w:numPr>
      </w:pPr>
      <w:r>
        <w:t xml:space="preserve">Delivering the necessary vertical light level at the eye of occupants while also minimizing glare is </w:t>
      </w:r>
      <w:r w:rsidR="00295EDE">
        <w:t>difficult to accomplish with currently available</w:t>
      </w:r>
      <w:r>
        <w:t xml:space="preserve"> </w:t>
      </w:r>
      <w:r w:rsidR="00295EDE">
        <w:t>luminaire optics and color tuning options</w:t>
      </w:r>
      <w:r>
        <w:t xml:space="preserve">. Multi-primary lighting systems are limited by the optics necessary to create non-Lambertian distributions. Conversely, luminaires with the desired optical distributions </w:t>
      </w:r>
      <w:r w:rsidR="00257CB0">
        <w:t>are generally</w:t>
      </w:r>
      <w:r>
        <w:t xml:space="preserve"> limited to two primaries. </w:t>
      </w:r>
    </w:p>
    <w:p w14:paraId="45B642F9" w14:textId="5A37F2C9" w:rsidR="004934F2" w:rsidRDefault="004934F2" w:rsidP="00E85159">
      <w:pPr>
        <w:pStyle w:val="ListParagraph"/>
        <w:numPr>
          <w:ilvl w:val="0"/>
          <w:numId w:val="14"/>
        </w:numPr>
      </w:pPr>
      <w:r>
        <w:t xml:space="preserve">Designing to meet recommended thresholds of EML and CS throughout the </w:t>
      </w:r>
      <w:r w:rsidR="00295EDE">
        <w:t xml:space="preserve">open </w:t>
      </w:r>
      <w:r>
        <w:t>office spaces in this project resulted in horizontal and vertical illuminance levels three to five times greater than IES recommendations for visual tasks. The</w:t>
      </w:r>
      <w:r w:rsidR="00295EDE">
        <w:t xml:space="preserve"> predicted</w:t>
      </w:r>
      <w:r>
        <w:t xml:space="preserve"> light levels conflict with IES recommendations for avoiding discomfort glare. </w:t>
      </w:r>
    </w:p>
    <w:p w14:paraId="7C342F15" w14:textId="744BCBF3" w:rsidR="004934F2" w:rsidRDefault="00295EDE" w:rsidP="00295EDE">
      <w:pPr>
        <w:pStyle w:val="ListParagraph"/>
        <w:numPr>
          <w:ilvl w:val="0"/>
          <w:numId w:val="14"/>
        </w:numPr>
      </w:pPr>
      <w:r>
        <w:t xml:space="preserve">It was not possible to meet EML or CS thresholds recommended by WELL v2 2019 Q2 or UL Design Guideline 24480 at 100% of the workstations in the open office space. For several CCT conditions, it was possible to achieve the minimal EML threshold (150 m-lux) and CS threshold (0.3) at 95% of workstations. </w:t>
      </w:r>
    </w:p>
    <w:p w14:paraId="78FF36A8" w14:textId="77777777" w:rsidR="004934F2" w:rsidRDefault="004934F2" w:rsidP="00E85159">
      <w:pPr>
        <w:pStyle w:val="ListParagraph"/>
        <w:numPr>
          <w:ilvl w:val="0"/>
          <w:numId w:val="14"/>
        </w:numPr>
      </w:pPr>
      <w:r>
        <w:t>The orientation and location of the workstations influenced whether or not EML or CS thresholds were met. An analysis in the private office spaces demonstrated it was possible to meet all WELL and UL recommendations (including the updated WELL v2 2021 Q4 recommendation) by optimizing the location and orientation of the workstation relative to the electric lighting system, window, and room surfaces.</w:t>
      </w:r>
    </w:p>
    <w:p w14:paraId="71E0B8F3" w14:textId="502C88FC" w:rsidR="004934F2" w:rsidRDefault="004934F2" w:rsidP="00E85159">
      <w:pPr>
        <w:pStyle w:val="ListParagraph"/>
        <w:numPr>
          <w:ilvl w:val="0"/>
          <w:numId w:val="14"/>
        </w:numPr>
      </w:pPr>
      <w:r>
        <w:t xml:space="preserve">Workstations oriented toward the windows along the perimeter of the open and private offices had more light transmitted </w:t>
      </w:r>
      <w:r w:rsidR="00F60D5B">
        <w:t xml:space="preserve">through </w:t>
      </w:r>
      <w:r>
        <w:t>the glazing material than reflected back into the space, resulting in notably lower levels of vertical illuminance</w:t>
      </w:r>
      <w:r w:rsidR="0073240A">
        <w:t xml:space="preserve">, EML, and CS </w:t>
      </w:r>
      <w:r>
        <w:t>than workstations oriented toward the interior of the building. It is difficult to determine how much daylight will contribute to vertical illuminance, EML and CS at these locations</w:t>
      </w:r>
      <w:r w:rsidR="00F60D5B">
        <w:t xml:space="preserve"> throughout the day or year</w:t>
      </w:r>
      <w:r>
        <w:t xml:space="preserve">. </w:t>
      </w:r>
    </w:p>
    <w:p w14:paraId="55242E19" w14:textId="77777777" w:rsidR="004934F2" w:rsidRPr="00827565" w:rsidRDefault="004934F2" w:rsidP="00E85159">
      <w:pPr>
        <w:pStyle w:val="ListParagraph"/>
        <w:numPr>
          <w:ilvl w:val="0"/>
          <w:numId w:val="14"/>
        </w:numPr>
        <w:rPr>
          <w:rStyle w:val="normaltextrun"/>
        </w:rPr>
      </w:pPr>
      <w:r>
        <w:t xml:space="preserve">Lighting simulation methods and software tools that do not account for the spectral characteristics of light sources and room surfaces are limited in their ability to estimate the spectrum of light, and subsequently EML and CS, at the vertical viewing positions. </w:t>
      </w:r>
    </w:p>
    <w:p w14:paraId="68095D9B" w14:textId="3F38D84A" w:rsidR="004934F2" w:rsidRPr="00D465B8" w:rsidRDefault="004934F2" w:rsidP="00E85159">
      <w:pPr>
        <w:pStyle w:val="ListParagraph"/>
        <w:numPr>
          <w:ilvl w:val="0"/>
          <w:numId w:val="14"/>
        </w:numPr>
        <w:rPr>
          <w:rStyle w:val="normaltextrun"/>
        </w:rPr>
      </w:pPr>
      <w:r w:rsidRPr="00E85159">
        <w:rPr>
          <w:rStyle w:val="normaltextrun"/>
          <w:rFonts w:ascii="Calibri" w:hAnsi="Calibri" w:cs="Calibri"/>
          <w:color w:val="000000"/>
        </w:rPr>
        <w:t>In each room, the horizontal uniformity at the task plane is 1.2:1 average to minimum, however, the vertical uniformity at standing eye height is over 2:1 average to minimum. </w:t>
      </w:r>
      <w:r w:rsidR="00F60D5B">
        <w:rPr>
          <w:rStyle w:val="normaltextrun"/>
          <w:rFonts w:ascii="Calibri" w:hAnsi="Calibri" w:cs="Calibri"/>
          <w:color w:val="000000"/>
        </w:rPr>
        <w:t>While t</w:t>
      </w:r>
      <w:r w:rsidRPr="00E85159">
        <w:rPr>
          <w:rStyle w:val="normaltextrun"/>
          <w:rFonts w:ascii="Calibri" w:hAnsi="Calibri" w:cs="Calibri"/>
          <w:color w:val="000000"/>
        </w:rPr>
        <w:t xml:space="preserve">his is </w:t>
      </w:r>
      <w:r w:rsidR="00F60D5B">
        <w:rPr>
          <w:rStyle w:val="normaltextrun"/>
          <w:rFonts w:ascii="Calibri" w:hAnsi="Calibri" w:cs="Calibri"/>
          <w:color w:val="000000"/>
        </w:rPr>
        <w:t xml:space="preserve">not necessarily unusual </w:t>
      </w:r>
      <w:r w:rsidRPr="00E85159">
        <w:rPr>
          <w:rStyle w:val="normaltextrun"/>
          <w:rFonts w:ascii="Calibri" w:hAnsi="Calibri" w:cs="Calibri"/>
          <w:color w:val="000000"/>
        </w:rPr>
        <w:t>for office interiors, it draws attention to the complexity of delivering consistent vertical illuminance to moving occupants compared to horizontal illuminance.</w:t>
      </w:r>
    </w:p>
    <w:p w14:paraId="4A58EC0F" w14:textId="77777777" w:rsidR="004934F2" w:rsidRDefault="004934F2" w:rsidP="00E85159">
      <w:pPr>
        <w:pStyle w:val="ListParagraph"/>
        <w:numPr>
          <w:ilvl w:val="0"/>
          <w:numId w:val="14"/>
        </w:numPr>
      </w:pPr>
      <w:r w:rsidRPr="00E85159">
        <w:rPr>
          <w:rStyle w:val="normaltextrun"/>
          <w:rFonts w:ascii="Calibri" w:hAnsi="Calibri" w:cs="Calibri"/>
          <w:color w:val="000000"/>
        </w:rPr>
        <w:t>Preliminary design results from this study indicated that designing to meet circadian lighting metric recommendations resulted in higher energy use than existing codes recommend for meeting visual tasks.</w:t>
      </w:r>
    </w:p>
    <w:p w14:paraId="4C9649C2" w14:textId="2EC048BF" w:rsidR="38BC0535" w:rsidRDefault="62821283" w:rsidP="00F60D5B">
      <w:pPr>
        <w:pStyle w:val="Heading1"/>
        <w:tabs>
          <w:tab w:val="left" w:pos="5670"/>
        </w:tabs>
        <w:rPr>
          <w:rFonts w:ascii="Calibri Light" w:hAnsi="Calibri Light"/>
        </w:rPr>
      </w:pPr>
      <w:r w:rsidRPr="62821283">
        <w:rPr>
          <w:rFonts w:ascii="Calibri Light" w:hAnsi="Calibri Light"/>
        </w:rPr>
        <w:t>References</w:t>
      </w:r>
    </w:p>
    <w:p w14:paraId="28FC6F18" w14:textId="77777777" w:rsidR="008446D6" w:rsidRPr="008446D6" w:rsidRDefault="00DD7004" w:rsidP="008446D6">
      <w:pPr>
        <w:pStyle w:val="EndNoteBibliography"/>
        <w:spacing w:after="0"/>
      </w:pPr>
      <w:r>
        <w:rPr>
          <w:rFonts w:eastAsia="Calibri"/>
        </w:rPr>
        <w:fldChar w:fldCharType="begin"/>
      </w:r>
      <w:r>
        <w:rPr>
          <w:rFonts w:eastAsia="Calibri"/>
        </w:rPr>
        <w:instrText xml:space="preserve"> ADDIN EN.REFLIST </w:instrText>
      </w:r>
      <w:r>
        <w:rPr>
          <w:rFonts w:eastAsia="Calibri"/>
        </w:rPr>
        <w:fldChar w:fldCharType="separate"/>
      </w:r>
      <w:r w:rsidR="008446D6" w:rsidRPr="008446D6">
        <w:t>(2018). CIE SYSTEM FOR METROLOGY OF OPTICAL RADIATION FOR IPRGC-INFLUENCED RESPONSES TO LIGHT, International Commission on Illumination (CIE).</w:t>
      </w:r>
    </w:p>
    <w:p w14:paraId="185BBAFD" w14:textId="0FD1DB43" w:rsidR="008446D6" w:rsidRPr="008446D6" w:rsidRDefault="008446D6" w:rsidP="008446D6">
      <w:pPr>
        <w:pStyle w:val="EndNoteBibliography"/>
        <w:spacing w:after="0"/>
      </w:pPr>
      <w:r w:rsidRPr="008446D6">
        <w:t xml:space="preserve">AGi32. (2020). "Color bleed - concepts."   Retrieved December 1, 2020, from </w:t>
      </w:r>
      <w:hyperlink r:id="rId30" w:history="1">
        <w:r w:rsidRPr="008446D6">
          <w:rPr>
            <w:rStyle w:val="Hyperlink"/>
          </w:rPr>
          <w:t>https://docs.agi32.com/AGi32/Content/multi_use_forms/Color_Bleed_-_Concepts.htm</w:t>
        </w:r>
      </w:hyperlink>
      <w:r w:rsidRPr="008446D6">
        <w:t>.</w:t>
      </w:r>
    </w:p>
    <w:p w14:paraId="4392E7A9" w14:textId="77777777" w:rsidR="008446D6" w:rsidRPr="008446D6" w:rsidRDefault="008446D6" w:rsidP="008446D6">
      <w:pPr>
        <w:pStyle w:val="EndNoteBibliography"/>
        <w:spacing w:after="0"/>
      </w:pPr>
      <w:r w:rsidRPr="008446D6">
        <w:t xml:space="preserve">Brown, T. B., G.; Cajochen, C.; Czeisler, C.; Hanifin, J.; Lockley, S.; Lucas, R.; Munch, M.; O'Hagan, J.; Peirson, S.; Price, L.; Roenneberg, T.; Schlangen, L.; Skene, D.; Spitschan, M.; Vetter, C.; Zee, P.; Wright Jr., K. (2020). " Recommendations for Healthy Daytime, Evening, and Night-Time Indoor Light Exposure." </w:t>
      </w:r>
      <w:r w:rsidRPr="008446D6">
        <w:rPr>
          <w:u w:val="single"/>
        </w:rPr>
        <w:t>Preprints</w:t>
      </w:r>
      <w:r w:rsidRPr="008446D6">
        <w:t>.</w:t>
      </w:r>
    </w:p>
    <w:p w14:paraId="66377E54" w14:textId="77777777" w:rsidR="008446D6" w:rsidRPr="008446D6" w:rsidRDefault="008446D6" w:rsidP="008446D6">
      <w:pPr>
        <w:pStyle w:val="EndNoteBibliography"/>
        <w:spacing w:after="0"/>
      </w:pPr>
      <w:r w:rsidRPr="008446D6">
        <w:t xml:space="preserve">Collier, J. M., B. K. Abboushi and R. G. Davis (2020). Evolving theories of change: Rethinking of the effects of office lighting on occupants. </w:t>
      </w:r>
      <w:r w:rsidRPr="008446D6">
        <w:rPr>
          <w:u w:val="single"/>
        </w:rPr>
        <w:t>Conference: Proceedings of the 2020 Illuminating Engineering Society Annual Conference, August 24-28; August 31- September 4, 2020, Virtual</w:t>
      </w:r>
      <w:r w:rsidRPr="008446D6">
        <w:t>. United States</w:t>
      </w:r>
      <w:r w:rsidRPr="008446D6">
        <w:rPr>
          <w:b/>
        </w:rPr>
        <w:t xml:space="preserve">: </w:t>
      </w:r>
      <w:r w:rsidRPr="008446D6">
        <w:t>Medium: X.</w:t>
      </w:r>
    </w:p>
    <w:p w14:paraId="42528F3E" w14:textId="3B8F1C1F" w:rsidR="008446D6" w:rsidRPr="008446D6" w:rsidRDefault="008446D6" w:rsidP="008446D6">
      <w:pPr>
        <w:pStyle w:val="EndNoteBibliography"/>
        <w:spacing w:after="0"/>
      </w:pPr>
      <w:r w:rsidRPr="008446D6">
        <w:t xml:space="preserve">IWBI (2020). WELL v2™. </w:t>
      </w:r>
      <w:hyperlink r:id="rId31" w:history="1">
        <w:r w:rsidRPr="008446D6">
          <w:rPr>
            <w:rStyle w:val="Hyperlink"/>
          </w:rPr>
          <w:t>https://v2.wellcertified.com/en/wellv2/overview</w:t>
        </w:r>
      </w:hyperlink>
      <w:r w:rsidRPr="008446D6">
        <w:t>, The International WELL Building Institute.</w:t>
      </w:r>
    </w:p>
    <w:p w14:paraId="70C3BCA8" w14:textId="77777777" w:rsidR="008446D6" w:rsidRPr="008446D6" w:rsidRDefault="008446D6" w:rsidP="008446D6">
      <w:pPr>
        <w:pStyle w:val="EndNoteBibliography"/>
        <w:spacing w:after="0"/>
      </w:pPr>
      <w:r w:rsidRPr="008446D6">
        <w:t xml:space="preserve">Lucas, R. J., S. N. Peirson, D. M. Berson, T. M. Brown, H. M. Cooper, C. A. Czeisler, M. G. Figueiro, P. D. Gamlin, S. W. Lockley, J. B. O'Hagan, L. L. A. Price, I. Provencio, D. J. Skene and G. C. Brainard (2014). "Measuring and using light in the melanopsin age." </w:t>
      </w:r>
      <w:r w:rsidRPr="008446D6">
        <w:rPr>
          <w:u w:val="single"/>
        </w:rPr>
        <w:t>Trends in Neurosciences</w:t>
      </w:r>
      <w:r w:rsidRPr="008446D6">
        <w:t xml:space="preserve"> </w:t>
      </w:r>
      <w:r w:rsidRPr="008446D6">
        <w:rPr>
          <w:b/>
        </w:rPr>
        <w:t>37</w:t>
      </w:r>
      <w:r w:rsidRPr="008446D6">
        <w:t>(1): 1-9.</w:t>
      </w:r>
    </w:p>
    <w:p w14:paraId="6E3FF107" w14:textId="77777777" w:rsidR="008446D6" w:rsidRPr="008446D6" w:rsidRDefault="008446D6" w:rsidP="008446D6">
      <w:pPr>
        <w:pStyle w:val="EndNoteBibliography"/>
        <w:spacing w:after="0"/>
      </w:pPr>
      <w:r w:rsidRPr="008446D6">
        <w:t xml:space="preserve">Rea, M. S. and M. G. Figueiro (2018). "Light as a circadian stimulus for architectural lighting." </w:t>
      </w:r>
      <w:r w:rsidRPr="008446D6">
        <w:rPr>
          <w:u w:val="single"/>
        </w:rPr>
        <w:t>Lighting Research &amp; Technology</w:t>
      </w:r>
      <w:r w:rsidRPr="008446D6">
        <w:t xml:space="preserve"> </w:t>
      </w:r>
      <w:r w:rsidRPr="008446D6">
        <w:rPr>
          <w:b/>
        </w:rPr>
        <w:t>50</w:t>
      </w:r>
      <w:r w:rsidRPr="008446D6">
        <w:t>(4): 497-510.</w:t>
      </w:r>
    </w:p>
    <w:p w14:paraId="12A815B2" w14:textId="77777777" w:rsidR="008446D6" w:rsidRPr="008446D6" w:rsidRDefault="008446D6" w:rsidP="008446D6">
      <w:pPr>
        <w:pStyle w:val="EndNoteBibliography"/>
        <w:spacing w:after="0"/>
      </w:pPr>
      <w:r w:rsidRPr="008446D6">
        <w:t xml:space="preserve">Rea, M. S., R. Nagare and M. G. Figueiro (2021). "Modeling Circadian Phototransduction: Quantitative Predictions of Psychophysical Data." </w:t>
      </w:r>
      <w:r w:rsidRPr="008446D6">
        <w:rPr>
          <w:u w:val="single"/>
        </w:rPr>
        <w:t>Frontiers in Neuroscience</w:t>
      </w:r>
      <w:r w:rsidRPr="008446D6">
        <w:t xml:space="preserve"> </w:t>
      </w:r>
      <w:r w:rsidRPr="008446D6">
        <w:rPr>
          <w:b/>
        </w:rPr>
        <w:t>15</w:t>
      </w:r>
      <w:r w:rsidRPr="008446D6">
        <w:t>(44).</w:t>
      </w:r>
    </w:p>
    <w:p w14:paraId="2F06B4AD" w14:textId="77777777" w:rsidR="008446D6" w:rsidRPr="008446D6" w:rsidRDefault="008446D6" w:rsidP="008446D6">
      <w:pPr>
        <w:pStyle w:val="EndNoteBibliography"/>
        <w:spacing w:after="0"/>
      </w:pPr>
      <w:r w:rsidRPr="008446D6">
        <w:t xml:space="preserve">Safranek, S., J. M. Collier, A. Wilkerson and R. G. Davis (2020). "Energy impact of human health and wellness lighting recommendations for office and classroom applications." </w:t>
      </w:r>
      <w:r w:rsidRPr="008446D6">
        <w:rPr>
          <w:u w:val="single"/>
        </w:rPr>
        <w:t>Energy and Buildings</w:t>
      </w:r>
      <w:r w:rsidRPr="008446D6">
        <w:t xml:space="preserve"> </w:t>
      </w:r>
      <w:r w:rsidRPr="008446D6">
        <w:rPr>
          <w:b/>
        </w:rPr>
        <w:t>226</w:t>
      </w:r>
      <w:r w:rsidRPr="008446D6">
        <w:t>: 110365.</w:t>
      </w:r>
    </w:p>
    <w:p w14:paraId="6019C989" w14:textId="77777777" w:rsidR="008446D6" w:rsidRPr="008446D6" w:rsidRDefault="008446D6" w:rsidP="008446D6">
      <w:pPr>
        <w:pStyle w:val="EndNoteBibliography"/>
      </w:pPr>
      <w:r w:rsidRPr="008446D6">
        <w:t>UL (2019). Recommended Practice and Design Guideline for Promoting Circadian Entrainment with Light for Day-Active People.</w:t>
      </w:r>
    </w:p>
    <w:p w14:paraId="392CD7D8" w14:textId="2F4E0B71" w:rsidR="28903F1D" w:rsidRDefault="00DD7004" w:rsidP="202594A0">
      <w:pPr>
        <w:rPr>
          <w:rFonts w:ascii="Calibri" w:eastAsia="Calibri" w:hAnsi="Calibri" w:cs="Calibri"/>
        </w:rPr>
      </w:pPr>
      <w:r>
        <w:rPr>
          <w:rFonts w:ascii="Calibri" w:eastAsia="Calibri" w:hAnsi="Calibri" w:cs="Calibri"/>
        </w:rPr>
        <w:fldChar w:fldCharType="end"/>
      </w:r>
    </w:p>
    <w:sectPr w:rsidR="28903F1D">
      <w:headerReference w:type="default" r:id="rId32"/>
      <w:footerReference w:type="defaul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afranek, Sarah F" w:date="2021-12-27T12:19:00Z" w:initials="SSF">
    <w:p w14:paraId="0E351423" w14:textId="6E88713A" w:rsidR="00151C38" w:rsidRDefault="00151C38">
      <w:pPr>
        <w:pStyle w:val="CommentText"/>
      </w:pPr>
      <w:r>
        <w:rPr>
          <w:rStyle w:val="CommentReference"/>
        </w:rPr>
        <w:annotationRef/>
      </w:r>
      <w:r>
        <w:t>Executive Summary and template formatting to be completed after technical reviews</w:t>
      </w:r>
    </w:p>
  </w:comment>
  <w:comment w:id="1" w:author="Sarah Safranek" w:date="2021-12-19T20:34:00Z" w:initials="SS">
    <w:p w14:paraId="61EC1E8B" w14:textId="6C592597" w:rsidR="00151C38" w:rsidRDefault="00151C38">
      <w:pPr>
        <w:pStyle w:val="CommentText"/>
      </w:pPr>
      <w:r>
        <w:t xml:space="preserve">Does this apply to both floors? We may need to be more explicit about the ceiling height on the 23rd floor and how that impacted the lighting design. </w:t>
      </w:r>
      <w:r>
        <w:rPr>
          <w:rStyle w:val="CommentReference"/>
        </w:rPr>
        <w:annotationRef/>
      </w:r>
    </w:p>
  </w:comment>
  <w:comment w:id="7" w:author="Collier, Jessica M" w:date="2021-12-17T15:39:00Z" w:initials="CJM">
    <w:p w14:paraId="0E484031" w14:textId="77BB0E76" w:rsidR="00151C38" w:rsidRDefault="00151C38">
      <w:pPr>
        <w:pStyle w:val="CommentText"/>
      </w:pPr>
      <w:r>
        <w:rPr>
          <w:rStyle w:val="CommentReference"/>
        </w:rPr>
        <w:annotationRef/>
      </w:r>
      <w:r>
        <w:t>Flagging this re distribution discussion</w:t>
      </w:r>
    </w:p>
  </w:comment>
  <w:comment w:id="8" w:author="Collier, Jessica M" w:date="2021-12-17T15:40:00Z" w:initials="CJM">
    <w:p w14:paraId="5E26A9CB" w14:textId="7AD69D15" w:rsidR="00151C38" w:rsidRDefault="00151C38">
      <w:pPr>
        <w:pStyle w:val="CommentText"/>
      </w:pPr>
      <w:r>
        <w:rPr>
          <w:rStyle w:val="CommentReference"/>
        </w:rPr>
        <w:annotationRef/>
      </w:r>
      <w:r>
        <w:t>This could be true on the 24</w:t>
      </w:r>
      <w:r w:rsidRPr="00B863C0">
        <w:rPr>
          <w:vertAlign w:val="superscript"/>
        </w:rPr>
        <w:t>th</w:t>
      </w:r>
      <w:r>
        <w:t xml:space="preserve"> floor, but I think it adds to my confusion</w:t>
      </w:r>
    </w:p>
  </w:comment>
  <w:comment w:id="9" w:author="Collier, Jessica M" w:date="2021-12-17T15:42:00Z" w:initials="CJM">
    <w:p w14:paraId="2A7D1092" w14:textId="4258AC41" w:rsidR="00151C38" w:rsidRDefault="00151C38">
      <w:pPr>
        <w:pStyle w:val="CommentText"/>
      </w:pPr>
      <w:r>
        <w:rPr>
          <w:rStyle w:val="CommentReference"/>
        </w:rPr>
        <w:annotationRef/>
      </w:r>
      <w:r>
        <w:t>Flagging this for the same reason, is it a pendant or recessed?</w:t>
      </w:r>
    </w:p>
  </w:comment>
  <w:comment w:id="13" w:author="Safranek, Sarah F" w:date="2021-12-18T07:26:00Z" w:initials="SSF">
    <w:p w14:paraId="24F1188C" w14:textId="3AA05D7D" w:rsidR="00151C38" w:rsidRDefault="00151C38">
      <w:pPr>
        <w:pStyle w:val="CommentText"/>
      </w:pPr>
      <w:r>
        <w:rPr>
          <w:rStyle w:val="CommentReference"/>
        </w:rPr>
        <w:annotationRef/>
      </w:r>
      <w:r>
        <w:t>Correct? The confusion with the ceiling height continues in this paragraph</w:t>
      </w:r>
    </w:p>
  </w:comment>
  <w:comment w:id="14" w:author="Safranek, Sarah F" w:date="2021-12-18T07:29:00Z" w:initials="SSF">
    <w:p w14:paraId="734F4A7F" w14:textId="06C8D31A" w:rsidR="00151C38" w:rsidRDefault="00151C38">
      <w:pPr>
        <w:pStyle w:val="CommentText"/>
      </w:pPr>
      <w:r>
        <w:rPr>
          <w:rStyle w:val="CommentReference"/>
        </w:rPr>
        <w:annotationRef/>
      </w:r>
      <w:r>
        <w:t>Flagging for the ceiling confusion</w:t>
      </w:r>
    </w:p>
  </w:comment>
  <w:comment w:id="15" w:author="Safranek, Sarah F [2]" w:date="2021-12-16T13:49:00Z" w:initials="SF">
    <w:p w14:paraId="075D86E4" w14:textId="77777777" w:rsidR="00151C38" w:rsidRDefault="00151C38" w:rsidP="009F2F17">
      <w:pPr>
        <w:pStyle w:val="CommentText"/>
      </w:pPr>
      <w:r>
        <w:t>This contradicts what was said in the previous section: “While industry recommendations for circadian lighting metrics and glare were achieved, lighting levels on the horizontal task surface were still two to three times higher than the recommendations from the 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351423" w15:done="0"/>
  <w15:commentEx w15:paraId="61EC1E8B" w15:done="0"/>
  <w15:commentEx w15:paraId="0E484031" w15:done="0"/>
  <w15:commentEx w15:paraId="5E26A9CB" w15:done="0"/>
  <w15:commentEx w15:paraId="2A7D1092" w15:done="0"/>
  <w15:commentEx w15:paraId="24F1188C" w15:done="0"/>
  <w15:commentEx w15:paraId="734F4A7F" w15:done="0"/>
  <w15:commentEx w15:paraId="075D86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42DE5" w16cex:dateUtc="2021-12-27T20:19:00Z"/>
  <w16cex:commentExtensible w16cex:durableId="46C43BAC" w16cex:dateUtc="2021-12-20T04:34:00Z"/>
  <w16cex:commentExtensible w16cex:durableId="25672DBC" w16cex:dateUtc="2021-12-17T23:39:00Z"/>
  <w16cex:commentExtensible w16cex:durableId="25672DDA" w16cex:dateUtc="2021-12-17T23:40:00Z"/>
  <w16cex:commentExtensible w16cex:durableId="25672E71" w16cex:dateUtc="2021-12-17T23:42:00Z"/>
  <w16cex:commentExtensible w16cex:durableId="25680B92" w16cex:dateUtc="2021-12-18T15:26:00Z"/>
  <w16cex:commentExtensible w16cex:durableId="25680C72" w16cex:dateUtc="2021-12-18T15:29:00Z"/>
  <w16cex:commentExtensible w16cex:durableId="60C2D04F" w16cex:dateUtc="2021-12-16T2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351423" w16cid:durableId="25742DE5"/>
  <w16cid:commentId w16cid:paraId="61EC1E8B" w16cid:durableId="46C43BAC"/>
  <w16cid:commentId w16cid:paraId="0E484031" w16cid:durableId="25672DBC"/>
  <w16cid:commentId w16cid:paraId="5E26A9CB" w16cid:durableId="25672DDA"/>
  <w16cid:commentId w16cid:paraId="2A7D1092" w16cid:durableId="25672E71"/>
  <w16cid:commentId w16cid:paraId="24F1188C" w16cid:durableId="25680B92"/>
  <w16cid:commentId w16cid:paraId="734F4A7F" w16cid:durableId="25680C72"/>
  <w16cid:commentId w16cid:paraId="075D86E4" w16cid:durableId="60C2D0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06987" w14:textId="77777777" w:rsidR="00B51376" w:rsidRDefault="00B51376" w:rsidP="008D76C2">
      <w:pPr>
        <w:spacing w:after="0" w:line="240" w:lineRule="auto"/>
      </w:pPr>
      <w:r>
        <w:separator/>
      </w:r>
    </w:p>
  </w:endnote>
  <w:endnote w:type="continuationSeparator" w:id="0">
    <w:p w14:paraId="79BCB9D6" w14:textId="77777777" w:rsidR="00B51376" w:rsidRDefault="00B51376" w:rsidP="008D76C2">
      <w:pPr>
        <w:spacing w:after="0" w:line="240" w:lineRule="auto"/>
      </w:pPr>
      <w:r>
        <w:continuationSeparator/>
      </w:r>
    </w:p>
  </w:endnote>
  <w:endnote w:type="continuationNotice" w:id="1">
    <w:p w14:paraId="17F5F069" w14:textId="77777777" w:rsidR="00B51376" w:rsidRDefault="00B51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151C38" w14:paraId="502EDD7B" w14:textId="77777777" w:rsidTr="0C3182BD">
      <w:tc>
        <w:tcPr>
          <w:tcW w:w="3120" w:type="dxa"/>
        </w:tcPr>
        <w:p w14:paraId="7B3A076C" w14:textId="4AC86BC4" w:rsidR="00151C38" w:rsidRDefault="00151C38" w:rsidP="056E056C">
          <w:pPr>
            <w:pStyle w:val="Header"/>
            <w:ind w:left="-115"/>
          </w:pPr>
        </w:p>
      </w:tc>
      <w:tc>
        <w:tcPr>
          <w:tcW w:w="3120" w:type="dxa"/>
        </w:tcPr>
        <w:p w14:paraId="3476A476" w14:textId="35E5ED88" w:rsidR="00151C38" w:rsidRDefault="00151C38" w:rsidP="056E056C">
          <w:pPr>
            <w:pStyle w:val="Header"/>
            <w:jc w:val="center"/>
          </w:pPr>
        </w:p>
      </w:tc>
      <w:tc>
        <w:tcPr>
          <w:tcW w:w="3120" w:type="dxa"/>
        </w:tcPr>
        <w:p w14:paraId="7E63DE54" w14:textId="684399A3" w:rsidR="00151C38" w:rsidRDefault="00151C38" w:rsidP="056E056C">
          <w:pPr>
            <w:pStyle w:val="Header"/>
            <w:ind w:right="-115"/>
            <w:jc w:val="right"/>
          </w:pPr>
          <w:r>
            <w:fldChar w:fldCharType="begin"/>
          </w:r>
          <w:r>
            <w:instrText>PAGE</w:instrText>
          </w:r>
          <w:r>
            <w:fldChar w:fldCharType="separate"/>
          </w:r>
          <w:r>
            <w:rPr>
              <w:noProof/>
            </w:rPr>
            <w:t>1</w:t>
          </w:r>
          <w:r>
            <w:fldChar w:fldCharType="end"/>
          </w:r>
        </w:p>
      </w:tc>
    </w:tr>
  </w:tbl>
  <w:p w14:paraId="3B2AF43E" w14:textId="7895718B" w:rsidR="00151C38" w:rsidRDefault="00151C38" w:rsidP="056E0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A0B63" w14:textId="77777777" w:rsidR="00B51376" w:rsidRDefault="00B51376" w:rsidP="008D76C2">
      <w:pPr>
        <w:spacing w:after="0" w:line="240" w:lineRule="auto"/>
      </w:pPr>
      <w:r>
        <w:separator/>
      </w:r>
    </w:p>
  </w:footnote>
  <w:footnote w:type="continuationSeparator" w:id="0">
    <w:p w14:paraId="4A701010" w14:textId="77777777" w:rsidR="00B51376" w:rsidRDefault="00B51376" w:rsidP="008D76C2">
      <w:pPr>
        <w:spacing w:after="0" w:line="240" w:lineRule="auto"/>
      </w:pPr>
      <w:r>
        <w:continuationSeparator/>
      </w:r>
    </w:p>
  </w:footnote>
  <w:footnote w:type="continuationNotice" w:id="1">
    <w:p w14:paraId="4F7D5ADC" w14:textId="77777777" w:rsidR="00B51376" w:rsidRDefault="00B51376">
      <w:pPr>
        <w:spacing w:after="0" w:line="240" w:lineRule="auto"/>
      </w:pPr>
    </w:p>
  </w:footnote>
  <w:footnote w:id="2">
    <w:p w14:paraId="38828C46" w14:textId="6E399689" w:rsidR="00151C38" w:rsidRDefault="00151C38" w:rsidP="00506C83">
      <w:pPr>
        <w:pStyle w:val="FootnoteText"/>
      </w:pPr>
      <w:r w:rsidRPr="2D7D2247">
        <w:rPr>
          <w:rStyle w:val="FootnoteReference"/>
        </w:rPr>
        <w:footnoteRef/>
      </w:r>
      <w:r w:rsidRPr="589F0732">
        <w:t xml:space="preserve"> </w:t>
      </w:r>
      <w:r w:rsidRPr="589F0732">
        <w:rPr>
          <w:sz w:val="22"/>
          <w:szCs w:val="22"/>
        </w:rPr>
        <w:t xml:space="preserve">CL-500A </w:t>
      </w:r>
      <w:r w:rsidRPr="49AB04A3">
        <w:rPr>
          <w:sz w:val="22"/>
          <w:szCs w:val="22"/>
        </w:rPr>
        <w:t>Konica Minolta</w:t>
      </w:r>
      <w:r w:rsidRPr="589F0732">
        <w:rPr>
          <w:sz w:val="22"/>
          <w:szCs w:val="22"/>
        </w:rPr>
        <w:t xml:space="preserve"> </w:t>
      </w:r>
      <w:r w:rsidRPr="2044A43B">
        <w:rPr>
          <w:sz w:val="22"/>
          <w:szCs w:val="22"/>
        </w:rPr>
        <w:t>Illuminance</w:t>
      </w:r>
      <w:r w:rsidRPr="5D9D7C9E">
        <w:rPr>
          <w:sz w:val="22"/>
          <w:szCs w:val="22"/>
        </w:rPr>
        <w:t xml:space="preserve"> Spectrophotometer (10002008) calibrated </w:t>
      </w:r>
      <w:r w:rsidRPr="5F91E73D">
        <w:rPr>
          <w:sz w:val="22"/>
          <w:szCs w:val="22"/>
        </w:rPr>
        <w:t>Aug</w:t>
      </w:r>
      <w:r w:rsidRPr="036DEB23">
        <w:rPr>
          <w:sz w:val="22"/>
          <w:szCs w:val="22"/>
        </w:rPr>
        <w:t>. 30, 2018</w:t>
      </w:r>
      <w:r w:rsidRPr="0B4B9ADF">
        <w:rPr>
          <w:sz w:val="22"/>
          <w:szCs w:val="22"/>
        </w:rPr>
        <w:t>.</w:t>
      </w:r>
    </w:p>
  </w:footnote>
  <w:footnote w:id="3">
    <w:p w14:paraId="3F43A149" w14:textId="62B53C95" w:rsidR="00151C38" w:rsidRDefault="00151C38">
      <w:pPr>
        <w:pStyle w:val="FootnoteText"/>
      </w:pPr>
      <w:r>
        <w:rPr>
          <w:rStyle w:val="FootnoteReference"/>
        </w:rPr>
        <w:footnoteRef/>
      </w:r>
      <w:r>
        <w:t xml:space="preserve"> The M/P ratio compares the melanopic content of a light source to the photopic content by weighting the light source SPD by the respective spectral weighting functions.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151C38" w14:paraId="76313374" w14:textId="77777777" w:rsidTr="0C3182BD">
      <w:tc>
        <w:tcPr>
          <w:tcW w:w="3120" w:type="dxa"/>
        </w:tcPr>
        <w:p w14:paraId="0A304EB1" w14:textId="2EEE0BA6" w:rsidR="00151C38" w:rsidRDefault="00151C38" w:rsidP="056E056C">
          <w:pPr>
            <w:pStyle w:val="Header"/>
            <w:ind w:left="-115"/>
          </w:pPr>
        </w:p>
      </w:tc>
      <w:tc>
        <w:tcPr>
          <w:tcW w:w="3120" w:type="dxa"/>
        </w:tcPr>
        <w:p w14:paraId="10F6488F" w14:textId="29D54380" w:rsidR="00151C38" w:rsidRDefault="00151C38" w:rsidP="056E056C">
          <w:pPr>
            <w:pStyle w:val="Header"/>
            <w:jc w:val="center"/>
          </w:pPr>
        </w:p>
      </w:tc>
      <w:tc>
        <w:tcPr>
          <w:tcW w:w="3120" w:type="dxa"/>
        </w:tcPr>
        <w:p w14:paraId="69CF0546" w14:textId="595FFBA7" w:rsidR="00151C38" w:rsidRDefault="00151C38" w:rsidP="056E056C">
          <w:pPr>
            <w:pStyle w:val="Header"/>
            <w:ind w:right="-115"/>
            <w:jc w:val="right"/>
          </w:pPr>
        </w:p>
      </w:tc>
    </w:tr>
  </w:tbl>
  <w:p w14:paraId="6EAD6121" w14:textId="70F21372" w:rsidR="00151C38" w:rsidRDefault="00151C38" w:rsidP="056E056C">
    <w:pPr>
      <w:pStyle w:val="Header"/>
    </w:pPr>
  </w:p>
</w:hdr>
</file>

<file path=word/intelligence.xml><?xml version="1.0" encoding="utf-8"?>
<int:Intelligence xmlns:int="http://schemas.microsoft.com/office/intelligence/2019/intelligence">
  <int:IntelligenceSettings/>
  <int:Manifest>
    <int:WordHash hashCode="Sod//8PT3SKosl" id="qjZl7+5T"/>
  </int:Manifest>
  <int:Observations>
    <int:Content id="qjZl7+5T">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380F"/>
    <w:multiLevelType w:val="hybridMultilevel"/>
    <w:tmpl w:val="97204DA8"/>
    <w:lvl w:ilvl="0" w:tplc="7960FCA6">
      <w:start w:val="1"/>
      <w:numFmt w:val="bullet"/>
      <w:lvlText w:val=""/>
      <w:lvlJc w:val="left"/>
      <w:pPr>
        <w:ind w:left="720" w:hanging="360"/>
      </w:pPr>
      <w:rPr>
        <w:rFonts w:ascii="Symbol" w:hAnsi="Symbol" w:hint="default"/>
      </w:rPr>
    </w:lvl>
    <w:lvl w:ilvl="1" w:tplc="F69C7C7A">
      <w:start w:val="1"/>
      <w:numFmt w:val="bullet"/>
      <w:lvlText w:val="o"/>
      <w:lvlJc w:val="left"/>
      <w:pPr>
        <w:ind w:left="1440" w:hanging="360"/>
      </w:pPr>
      <w:rPr>
        <w:rFonts w:ascii="Courier New" w:hAnsi="Courier New" w:hint="default"/>
      </w:rPr>
    </w:lvl>
    <w:lvl w:ilvl="2" w:tplc="D01685BA">
      <w:start w:val="1"/>
      <w:numFmt w:val="bullet"/>
      <w:lvlText w:val=""/>
      <w:lvlJc w:val="left"/>
      <w:pPr>
        <w:ind w:left="2160" w:hanging="360"/>
      </w:pPr>
      <w:rPr>
        <w:rFonts w:ascii="Wingdings" w:hAnsi="Wingdings" w:hint="default"/>
      </w:rPr>
    </w:lvl>
    <w:lvl w:ilvl="3" w:tplc="A4EA1EB2">
      <w:start w:val="1"/>
      <w:numFmt w:val="bullet"/>
      <w:lvlText w:val=""/>
      <w:lvlJc w:val="left"/>
      <w:pPr>
        <w:ind w:left="2880" w:hanging="360"/>
      </w:pPr>
      <w:rPr>
        <w:rFonts w:ascii="Symbol" w:hAnsi="Symbol" w:hint="default"/>
      </w:rPr>
    </w:lvl>
    <w:lvl w:ilvl="4" w:tplc="E2AC7BD0">
      <w:start w:val="1"/>
      <w:numFmt w:val="bullet"/>
      <w:lvlText w:val="o"/>
      <w:lvlJc w:val="left"/>
      <w:pPr>
        <w:ind w:left="3600" w:hanging="360"/>
      </w:pPr>
      <w:rPr>
        <w:rFonts w:ascii="Courier New" w:hAnsi="Courier New" w:hint="default"/>
      </w:rPr>
    </w:lvl>
    <w:lvl w:ilvl="5" w:tplc="5868092C">
      <w:start w:val="1"/>
      <w:numFmt w:val="bullet"/>
      <w:lvlText w:val=""/>
      <w:lvlJc w:val="left"/>
      <w:pPr>
        <w:ind w:left="4320" w:hanging="360"/>
      </w:pPr>
      <w:rPr>
        <w:rFonts w:ascii="Wingdings" w:hAnsi="Wingdings" w:hint="default"/>
      </w:rPr>
    </w:lvl>
    <w:lvl w:ilvl="6" w:tplc="4BCAE942">
      <w:start w:val="1"/>
      <w:numFmt w:val="bullet"/>
      <w:lvlText w:val=""/>
      <w:lvlJc w:val="left"/>
      <w:pPr>
        <w:ind w:left="5040" w:hanging="360"/>
      </w:pPr>
      <w:rPr>
        <w:rFonts w:ascii="Symbol" w:hAnsi="Symbol" w:hint="default"/>
      </w:rPr>
    </w:lvl>
    <w:lvl w:ilvl="7" w:tplc="34F60EA4">
      <w:start w:val="1"/>
      <w:numFmt w:val="bullet"/>
      <w:lvlText w:val="o"/>
      <w:lvlJc w:val="left"/>
      <w:pPr>
        <w:ind w:left="5760" w:hanging="360"/>
      </w:pPr>
      <w:rPr>
        <w:rFonts w:ascii="Courier New" w:hAnsi="Courier New" w:hint="default"/>
      </w:rPr>
    </w:lvl>
    <w:lvl w:ilvl="8" w:tplc="09C2CFDE">
      <w:start w:val="1"/>
      <w:numFmt w:val="bullet"/>
      <w:lvlText w:val=""/>
      <w:lvlJc w:val="left"/>
      <w:pPr>
        <w:ind w:left="6480" w:hanging="360"/>
      </w:pPr>
      <w:rPr>
        <w:rFonts w:ascii="Wingdings" w:hAnsi="Wingdings" w:hint="default"/>
      </w:rPr>
    </w:lvl>
  </w:abstractNum>
  <w:abstractNum w:abstractNumId="1" w15:restartNumberingAfterBreak="0">
    <w:nsid w:val="07476AFF"/>
    <w:multiLevelType w:val="hybridMultilevel"/>
    <w:tmpl w:val="6F2E9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B5AF4"/>
    <w:multiLevelType w:val="hybridMultilevel"/>
    <w:tmpl w:val="6590B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409B0"/>
    <w:multiLevelType w:val="hybridMultilevel"/>
    <w:tmpl w:val="A5FA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80816"/>
    <w:multiLevelType w:val="hybridMultilevel"/>
    <w:tmpl w:val="B75A9ED2"/>
    <w:lvl w:ilvl="0" w:tplc="4A340D6C">
      <w:start w:val="1"/>
      <w:numFmt w:val="bullet"/>
      <w:lvlText w:val=""/>
      <w:lvlJc w:val="left"/>
      <w:pPr>
        <w:ind w:left="720" w:hanging="360"/>
      </w:pPr>
      <w:rPr>
        <w:rFonts w:ascii="Symbol" w:hAnsi="Symbol" w:hint="default"/>
      </w:rPr>
    </w:lvl>
    <w:lvl w:ilvl="1" w:tplc="31B6A314">
      <w:start w:val="1"/>
      <w:numFmt w:val="bullet"/>
      <w:lvlText w:val="o"/>
      <w:lvlJc w:val="left"/>
      <w:pPr>
        <w:ind w:left="1440" w:hanging="360"/>
      </w:pPr>
      <w:rPr>
        <w:rFonts w:ascii="Courier New" w:hAnsi="Courier New" w:hint="default"/>
      </w:rPr>
    </w:lvl>
    <w:lvl w:ilvl="2" w:tplc="C284BD3A">
      <w:start w:val="1"/>
      <w:numFmt w:val="bullet"/>
      <w:lvlText w:val=""/>
      <w:lvlJc w:val="left"/>
      <w:pPr>
        <w:ind w:left="2160" w:hanging="360"/>
      </w:pPr>
      <w:rPr>
        <w:rFonts w:ascii="Wingdings" w:hAnsi="Wingdings" w:hint="default"/>
      </w:rPr>
    </w:lvl>
    <w:lvl w:ilvl="3" w:tplc="F08CEF70">
      <w:start w:val="1"/>
      <w:numFmt w:val="bullet"/>
      <w:lvlText w:val=""/>
      <w:lvlJc w:val="left"/>
      <w:pPr>
        <w:ind w:left="2880" w:hanging="360"/>
      </w:pPr>
      <w:rPr>
        <w:rFonts w:ascii="Symbol" w:hAnsi="Symbol" w:hint="default"/>
      </w:rPr>
    </w:lvl>
    <w:lvl w:ilvl="4" w:tplc="20C480E2">
      <w:start w:val="1"/>
      <w:numFmt w:val="bullet"/>
      <w:lvlText w:val="o"/>
      <w:lvlJc w:val="left"/>
      <w:pPr>
        <w:ind w:left="3600" w:hanging="360"/>
      </w:pPr>
      <w:rPr>
        <w:rFonts w:ascii="Courier New" w:hAnsi="Courier New" w:hint="default"/>
      </w:rPr>
    </w:lvl>
    <w:lvl w:ilvl="5" w:tplc="D396C3A0">
      <w:start w:val="1"/>
      <w:numFmt w:val="bullet"/>
      <w:lvlText w:val=""/>
      <w:lvlJc w:val="left"/>
      <w:pPr>
        <w:ind w:left="4320" w:hanging="360"/>
      </w:pPr>
      <w:rPr>
        <w:rFonts w:ascii="Wingdings" w:hAnsi="Wingdings" w:hint="default"/>
      </w:rPr>
    </w:lvl>
    <w:lvl w:ilvl="6" w:tplc="6B8AECE2">
      <w:start w:val="1"/>
      <w:numFmt w:val="bullet"/>
      <w:lvlText w:val=""/>
      <w:lvlJc w:val="left"/>
      <w:pPr>
        <w:ind w:left="5040" w:hanging="360"/>
      </w:pPr>
      <w:rPr>
        <w:rFonts w:ascii="Symbol" w:hAnsi="Symbol" w:hint="default"/>
      </w:rPr>
    </w:lvl>
    <w:lvl w:ilvl="7" w:tplc="5810F5C4">
      <w:start w:val="1"/>
      <w:numFmt w:val="bullet"/>
      <w:lvlText w:val="o"/>
      <w:lvlJc w:val="left"/>
      <w:pPr>
        <w:ind w:left="5760" w:hanging="360"/>
      </w:pPr>
      <w:rPr>
        <w:rFonts w:ascii="Courier New" w:hAnsi="Courier New" w:hint="default"/>
      </w:rPr>
    </w:lvl>
    <w:lvl w:ilvl="8" w:tplc="E160BC36">
      <w:start w:val="1"/>
      <w:numFmt w:val="bullet"/>
      <w:lvlText w:val=""/>
      <w:lvlJc w:val="left"/>
      <w:pPr>
        <w:ind w:left="6480" w:hanging="360"/>
      </w:pPr>
      <w:rPr>
        <w:rFonts w:ascii="Wingdings" w:hAnsi="Wingdings" w:hint="default"/>
      </w:rPr>
    </w:lvl>
  </w:abstractNum>
  <w:abstractNum w:abstractNumId="5" w15:restartNumberingAfterBreak="0">
    <w:nsid w:val="1BA7176E"/>
    <w:multiLevelType w:val="hybridMultilevel"/>
    <w:tmpl w:val="A36A8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F47F3E"/>
    <w:multiLevelType w:val="hybridMultilevel"/>
    <w:tmpl w:val="7F90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8840D1"/>
    <w:multiLevelType w:val="hybridMultilevel"/>
    <w:tmpl w:val="AF805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7B488A"/>
    <w:multiLevelType w:val="hybridMultilevel"/>
    <w:tmpl w:val="3F68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16D79"/>
    <w:multiLevelType w:val="hybridMultilevel"/>
    <w:tmpl w:val="CDCA7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B339F"/>
    <w:multiLevelType w:val="hybridMultilevel"/>
    <w:tmpl w:val="541E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8064D1"/>
    <w:multiLevelType w:val="hybridMultilevel"/>
    <w:tmpl w:val="D96A4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B65E13"/>
    <w:multiLevelType w:val="hybridMultilevel"/>
    <w:tmpl w:val="B1BE5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A2051C"/>
    <w:multiLevelType w:val="hybridMultilevel"/>
    <w:tmpl w:val="81FC18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77A674F2"/>
    <w:multiLevelType w:val="hybridMultilevel"/>
    <w:tmpl w:val="92D803DA"/>
    <w:lvl w:ilvl="0" w:tplc="322C4164">
      <w:start w:val="1"/>
      <w:numFmt w:val="bullet"/>
      <w:lvlText w:val=""/>
      <w:lvlJc w:val="left"/>
      <w:pPr>
        <w:ind w:left="3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8"/>
  </w:num>
  <w:num w:numId="7">
    <w:abstractNumId w:val="9"/>
  </w:num>
  <w:num w:numId="8">
    <w:abstractNumId w:val="3"/>
  </w:num>
  <w:num w:numId="9">
    <w:abstractNumId w:val="7"/>
  </w:num>
  <w:num w:numId="10">
    <w:abstractNumId w:val="13"/>
  </w:num>
  <w:num w:numId="11">
    <w:abstractNumId w:val="14"/>
  </w:num>
  <w:num w:numId="12">
    <w:abstractNumId w:val="10"/>
  </w:num>
  <w:num w:numId="13">
    <w:abstractNumId w:val="6"/>
  </w:num>
  <w:num w:numId="14">
    <w:abstractNumId w:val="12"/>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franek, Sarah F">
    <w15:presenceInfo w15:providerId="AD" w15:userId="S::Sarah.Safranek@pnnl.gov::865f8820-6996-43e7-91d9-e1e3fba6bdd7"/>
  </w15:person>
  <w15:person w15:author="Collier, Jessica M">
    <w15:presenceInfo w15:providerId="AD" w15:userId="S::jessica.collier@pnnl.gov::b29af8f4-1aa1-4a21-b075-f93604641453"/>
  </w15:person>
  <w15:person w15:author="Safranek, Sarah F [2]">
    <w15:presenceInfo w15:providerId="AD" w15:userId="S::sarah.safranek@pnnl.gov::865f8820-6996-43e7-91d9-e1e3fba6b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af9eed9pd5e0e59xtvdep80wxesd5tp2fp&quot;&gt;My EndNote Library-Converted&lt;record-ids&gt;&lt;item&gt;149&lt;/item&gt;&lt;item&gt;150&lt;/item&gt;&lt;item&gt;168&lt;/item&gt;&lt;item&gt;171&lt;/item&gt;&lt;item&gt;176&lt;/item&gt;&lt;item&gt;182&lt;/item&gt;&lt;item&gt;194&lt;/item&gt;&lt;item&gt;196&lt;/item&gt;&lt;item&gt;197&lt;/item&gt;&lt;item&gt;198&lt;/item&gt;&lt;/record-ids&gt;&lt;/item&gt;&lt;/Libraries&gt;"/>
  </w:docVars>
  <w:rsids>
    <w:rsidRoot w:val="006118C5"/>
    <w:rsid w:val="00000750"/>
    <w:rsid w:val="00002171"/>
    <w:rsid w:val="000029F4"/>
    <w:rsid w:val="00003421"/>
    <w:rsid w:val="00006F22"/>
    <w:rsid w:val="00010B3C"/>
    <w:rsid w:val="00010C44"/>
    <w:rsid w:val="00012DE9"/>
    <w:rsid w:val="0001459F"/>
    <w:rsid w:val="00020FA8"/>
    <w:rsid w:val="000268E4"/>
    <w:rsid w:val="0002693A"/>
    <w:rsid w:val="000378DB"/>
    <w:rsid w:val="000437F2"/>
    <w:rsid w:val="00046161"/>
    <w:rsid w:val="00046C68"/>
    <w:rsid w:val="000524F9"/>
    <w:rsid w:val="00052F8B"/>
    <w:rsid w:val="00061A57"/>
    <w:rsid w:val="000643B1"/>
    <w:rsid w:val="0006506D"/>
    <w:rsid w:val="00065720"/>
    <w:rsid w:val="00070E63"/>
    <w:rsid w:val="00074E13"/>
    <w:rsid w:val="000811F9"/>
    <w:rsid w:val="000818C8"/>
    <w:rsid w:val="00083863"/>
    <w:rsid w:val="000849E7"/>
    <w:rsid w:val="00087FEB"/>
    <w:rsid w:val="000A1D6A"/>
    <w:rsid w:val="000A4EFF"/>
    <w:rsid w:val="000B02D3"/>
    <w:rsid w:val="000B0A0A"/>
    <w:rsid w:val="000C438F"/>
    <w:rsid w:val="000D07FC"/>
    <w:rsid w:val="000D0CB0"/>
    <w:rsid w:val="000D10CC"/>
    <w:rsid w:val="000D3A19"/>
    <w:rsid w:val="000D4699"/>
    <w:rsid w:val="000D6758"/>
    <w:rsid w:val="000D7856"/>
    <w:rsid w:val="000E03AF"/>
    <w:rsid w:val="000E0980"/>
    <w:rsid w:val="000E18C8"/>
    <w:rsid w:val="000E39D1"/>
    <w:rsid w:val="000E42B7"/>
    <w:rsid w:val="000F3744"/>
    <w:rsid w:val="000F44B7"/>
    <w:rsid w:val="000F6744"/>
    <w:rsid w:val="001033EE"/>
    <w:rsid w:val="00106D12"/>
    <w:rsid w:val="00110B2B"/>
    <w:rsid w:val="001130DB"/>
    <w:rsid w:val="001179B8"/>
    <w:rsid w:val="00124D8A"/>
    <w:rsid w:val="00134134"/>
    <w:rsid w:val="0013429E"/>
    <w:rsid w:val="00135E00"/>
    <w:rsid w:val="001442AC"/>
    <w:rsid w:val="00144CC9"/>
    <w:rsid w:val="00150F7A"/>
    <w:rsid w:val="00151C38"/>
    <w:rsid w:val="00155309"/>
    <w:rsid w:val="0016231C"/>
    <w:rsid w:val="00165394"/>
    <w:rsid w:val="00165BC8"/>
    <w:rsid w:val="00173A51"/>
    <w:rsid w:val="00176B77"/>
    <w:rsid w:val="00176D30"/>
    <w:rsid w:val="00182A85"/>
    <w:rsid w:val="00182FDA"/>
    <w:rsid w:val="00184DEA"/>
    <w:rsid w:val="001850DA"/>
    <w:rsid w:val="0019281B"/>
    <w:rsid w:val="001932FC"/>
    <w:rsid w:val="00196D36"/>
    <w:rsid w:val="001A3537"/>
    <w:rsid w:val="001B0400"/>
    <w:rsid w:val="001B1763"/>
    <w:rsid w:val="001B1DB0"/>
    <w:rsid w:val="001B2CBC"/>
    <w:rsid w:val="001B532B"/>
    <w:rsid w:val="001B609B"/>
    <w:rsid w:val="001B7ABB"/>
    <w:rsid w:val="001C42CE"/>
    <w:rsid w:val="001C7B26"/>
    <w:rsid w:val="001D10BD"/>
    <w:rsid w:val="001D441B"/>
    <w:rsid w:val="001D4608"/>
    <w:rsid w:val="001D5EE7"/>
    <w:rsid w:val="001E1048"/>
    <w:rsid w:val="001E4D7F"/>
    <w:rsid w:val="001E6F9C"/>
    <w:rsid w:val="001F1D2C"/>
    <w:rsid w:val="001F40B6"/>
    <w:rsid w:val="001F5481"/>
    <w:rsid w:val="001F6DD5"/>
    <w:rsid w:val="001F6DEF"/>
    <w:rsid w:val="0020088E"/>
    <w:rsid w:val="00203571"/>
    <w:rsid w:val="00204ABA"/>
    <w:rsid w:val="00204C58"/>
    <w:rsid w:val="00207AF2"/>
    <w:rsid w:val="00214A00"/>
    <w:rsid w:val="00214AC1"/>
    <w:rsid w:val="00215639"/>
    <w:rsid w:val="0022032D"/>
    <w:rsid w:val="002229AD"/>
    <w:rsid w:val="002269C3"/>
    <w:rsid w:val="00227BDA"/>
    <w:rsid w:val="002350CC"/>
    <w:rsid w:val="00236850"/>
    <w:rsid w:val="002421BD"/>
    <w:rsid w:val="00242FBC"/>
    <w:rsid w:val="00244635"/>
    <w:rsid w:val="0024505B"/>
    <w:rsid w:val="002523CB"/>
    <w:rsid w:val="002533EF"/>
    <w:rsid w:val="002544BC"/>
    <w:rsid w:val="00257CB0"/>
    <w:rsid w:val="00257D24"/>
    <w:rsid w:val="00261575"/>
    <w:rsid w:val="00264B51"/>
    <w:rsid w:val="00265201"/>
    <w:rsid w:val="00265546"/>
    <w:rsid w:val="00265BAC"/>
    <w:rsid w:val="0026C27E"/>
    <w:rsid w:val="002725C4"/>
    <w:rsid w:val="002751B2"/>
    <w:rsid w:val="002763D9"/>
    <w:rsid w:val="0027742F"/>
    <w:rsid w:val="00285A9A"/>
    <w:rsid w:val="00291324"/>
    <w:rsid w:val="002916DD"/>
    <w:rsid w:val="0029310C"/>
    <w:rsid w:val="00294FEF"/>
    <w:rsid w:val="00295EDE"/>
    <w:rsid w:val="002A111B"/>
    <w:rsid w:val="002A1843"/>
    <w:rsid w:val="002A2DBF"/>
    <w:rsid w:val="002A7DF4"/>
    <w:rsid w:val="002B0D6C"/>
    <w:rsid w:val="002B1D80"/>
    <w:rsid w:val="002B48CD"/>
    <w:rsid w:val="002C0CD5"/>
    <w:rsid w:val="002C1976"/>
    <w:rsid w:val="002C24FD"/>
    <w:rsid w:val="002C4753"/>
    <w:rsid w:val="002C5671"/>
    <w:rsid w:val="002C61D5"/>
    <w:rsid w:val="002C61F7"/>
    <w:rsid w:val="002D017C"/>
    <w:rsid w:val="002D0BB5"/>
    <w:rsid w:val="002D3208"/>
    <w:rsid w:val="002D5226"/>
    <w:rsid w:val="002D7634"/>
    <w:rsid w:val="002E02F8"/>
    <w:rsid w:val="002E0401"/>
    <w:rsid w:val="002E4915"/>
    <w:rsid w:val="002E68E8"/>
    <w:rsid w:val="002F0D66"/>
    <w:rsid w:val="002F751C"/>
    <w:rsid w:val="002F7D76"/>
    <w:rsid w:val="00301E8B"/>
    <w:rsid w:val="0030213F"/>
    <w:rsid w:val="00303694"/>
    <w:rsid w:val="00305BEB"/>
    <w:rsid w:val="00306B40"/>
    <w:rsid w:val="00307A4A"/>
    <w:rsid w:val="00314EB7"/>
    <w:rsid w:val="00317958"/>
    <w:rsid w:val="0032418B"/>
    <w:rsid w:val="003243D6"/>
    <w:rsid w:val="00326BC2"/>
    <w:rsid w:val="003317D8"/>
    <w:rsid w:val="0033273D"/>
    <w:rsid w:val="00335B04"/>
    <w:rsid w:val="00336DA0"/>
    <w:rsid w:val="0034003D"/>
    <w:rsid w:val="0034071A"/>
    <w:rsid w:val="0034753F"/>
    <w:rsid w:val="00351349"/>
    <w:rsid w:val="00351FE3"/>
    <w:rsid w:val="00357997"/>
    <w:rsid w:val="0036116C"/>
    <w:rsid w:val="00363A33"/>
    <w:rsid w:val="00365D25"/>
    <w:rsid w:val="003718C3"/>
    <w:rsid w:val="00373349"/>
    <w:rsid w:val="00375C52"/>
    <w:rsid w:val="00377686"/>
    <w:rsid w:val="00382A68"/>
    <w:rsid w:val="00382E41"/>
    <w:rsid w:val="00383A0D"/>
    <w:rsid w:val="00383B16"/>
    <w:rsid w:val="00384139"/>
    <w:rsid w:val="00386484"/>
    <w:rsid w:val="003870CC"/>
    <w:rsid w:val="0039123A"/>
    <w:rsid w:val="0039466F"/>
    <w:rsid w:val="003A4AFA"/>
    <w:rsid w:val="003A4F9A"/>
    <w:rsid w:val="003A5C24"/>
    <w:rsid w:val="003A6750"/>
    <w:rsid w:val="003B31CC"/>
    <w:rsid w:val="003B50EB"/>
    <w:rsid w:val="003B664A"/>
    <w:rsid w:val="003B6B55"/>
    <w:rsid w:val="003C15A4"/>
    <w:rsid w:val="003C441F"/>
    <w:rsid w:val="003C509D"/>
    <w:rsid w:val="003D3624"/>
    <w:rsid w:val="003D3D29"/>
    <w:rsid w:val="003D4823"/>
    <w:rsid w:val="003D5FC0"/>
    <w:rsid w:val="003D67D7"/>
    <w:rsid w:val="003D74E1"/>
    <w:rsid w:val="003D9532"/>
    <w:rsid w:val="003E403C"/>
    <w:rsid w:val="003E4540"/>
    <w:rsid w:val="003E6101"/>
    <w:rsid w:val="003F5889"/>
    <w:rsid w:val="00401211"/>
    <w:rsid w:val="00403665"/>
    <w:rsid w:val="00404D2F"/>
    <w:rsid w:val="00406DBD"/>
    <w:rsid w:val="00406E78"/>
    <w:rsid w:val="00407AF1"/>
    <w:rsid w:val="00410D9A"/>
    <w:rsid w:val="00410E25"/>
    <w:rsid w:val="004140DE"/>
    <w:rsid w:val="00416B50"/>
    <w:rsid w:val="00422E49"/>
    <w:rsid w:val="00423253"/>
    <w:rsid w:val="004253C2"/>
    <w:rsid w:val="00430EA2"/>
    <w:rsid w:val="00435B2F"/>
    <w:rsid w:val="00435D03"/>
    <w:rsid w:val="00441943"/>
    <w:rsid w:val="00445AE5"/>
    <w:rsid w:val="00455B67"/>
    <w:rsid w:val="00461676"/>
    <w:rsid w:val="00463008"/>
    <w:rsid w:val="00464661"/>
    <w:rsid w:val="00466455"/>
    <w:rsid w:val="004670DE"/>
    <w:rsid w:val="00472379"/>
    <w:rsid w:val="0047335D"/>
    <w:rsid w:val="00473A7A"/>
    <w:rsid w:val="00475173"/>
    <w:rsid w:val="00480A24"/>
    <w:rsid w:val="00481506"/>
    <w:rsid w:val="004817F3"/>
    <w:rsid w:val="00481CED"/>
    <w:rsid w:val="0048342E"/>
    <w:rsid w:val="00491F49"/>
    <w:rsid w:val="004934F2"/>
    <w:rsid w:val="00493B20"/>
    <w:rsid w:val="004963A5"/>
    <w:rsid w:val="0049786C"/>
    <w:rsid w:val="004A1491"/>
    <w:rsid w:val="004A2392"/>
    <w:rsid w:val="004A2D76"/>
    <w:rsid w:val="004A4D47"/>
    <w:rsid w:val="004A5562"/>
    <w:rsid w:val="004B0E18"/>
    <w:rsid w:val="004B130B"/>
    <w:rsid w:val="004B7A65"/>
    <w:rsid w:val="004B7AE6"/>
    <w:rsid w:val="004C12FA"/>
    <w:rsid w:val="004C1E6C"/>
    <w:rsid w:val="004C31ED"/>
    <w:rsid w:val="004C3508"/>
    <w:rsid w:val="004C5C1A"/>
    <w:rsid w:val="004D3597"/>
    <w:rsid w:val="004D760A"/>
    <w:rsid w:val="004E1A0E"/>
    <w:rsid w:val="004F4C0E"/>
    <w:rsid w:val="0050178E"/>
    <w:rsid w:val="00506A2F"/>
    <w:rsid w:val="00506C83"/>
    <w:rsid w:val="00511B0C"/>
    <w:rsid w:val="00512081"/>
    <w:rsid w:val="0051243D"/>
    <w:rsid w:val="00516147"/>
    <w:rsid w:val="005261DB"/>
    <w:rsid w:val="00526202"/>
    <w:rsid w:val="00526981"/>
    <w:rsid w:val="0052770B"/>
    <w:rsid w:val="0053369C"/>
    <w:rsid w:val="00534D57"/>
    <w:rsid w:val="00536A2A"/>
    <w:rsid w:val="00537946"/>
    <w:rsid w:val="00537E61"/>
    <w:rsid w:val="0053D629"/>
    <w:rsid w:val="00543457"/>
    <w:rsid w:val="005452E2"/>
    <w:rsid w:val="0054658F"/>
    <w:rsid w:val="005474CE"/>
    <w:rsid w:val="005524B6"/>
    <w:rsid w:val="005529CB"/>
    <w:rsid w:val="00555C49"/>
    <w:rsid w:val="00555C9A"/>
    <w:rsid w:val="00560443"/>
    <w:rsid w:val="005613C2"/>
    <w:rsid w:val="005629AB"/>
    <w:rsid w:val="005640C8"/>
    <w:rsid w:val="005648DD"/>
    <w:rsid w:val="00566A10"/>
    <w:rsid w:val="0057217A"/>
    <w:rsid w:val="00577372"/>
    <w:rsid w:val="00582BE7"/>
    <w:rsid w:val="00584616"/>
    <w:rsid w:val="00589AE9"/>
    <w:rsid w:val="00596A3C"/>
    <w:rsid w:val="00597818"/>
    <w:rsid w:val="005A0091"/>
    <w:rsid w:val="005A445B"/>
    <w:rsid w:val="005A7459"/>
    <w:rsid w:val="005B3415"/>
    <w:rsid w:val="005C0E8B"/>
    <w:rsid w:val="005C3F09"/>
    <w:rsid w:val="005C578C"/>
    <w:rsid w:val="005C68F5"/>
    <w:rsid w:val="005D1515"/>
    <w:rsid w:val="005D34D7"/>
    <w:rsid w:val="005D4E66"/>
    <w:rsid w:val="005D5461"/>
    <w:rsid w:val="005D5B4B"/>
    <w:rsid w:val="005E0355"/>
    <w:rsid w:val="005E06D7"/>
    <w:rsid w:val="005E6E46"/>
    <w:rsid w:val="005F07B1"/>
    <w:rsid w:val="005F103E"/>
    <w:rsid w:val="005F1324"/>
    <w:rsid w:val="005F4955"/>
    <w:rsid w:val="005F5F05"/>
    <w:rsid w:val="006012E9"/>
    <w:rsid w:val="00604E4E"/>
    <w:rsid w:val="006065CE"/>
    <w:rsid w:val="00606780"/>
    <w:rsid w:val="006118C5"/>
    <w:rsid w:val="00616267"/>
    <w:rsid w:val="0062007E"/>
    <w:rsid w:val="00624336"/>
    <w:rsid w:val="006243F8"/>
    <w:rsid w:val="0063006E"/>
    <w:rsid w:val="00631782"/>
    <w:rsid w:val="00631E87"/>
    <w:rsid w:val="00633598"/>
    <w:rsid w:val="00634F74"/>
    <w:rsid w:val="00635154"/>
    <w:rsid w:val="00645A63"/>
    <w:rsid w:val="00650DBE"/>
    <w:rsid w:val="00650ED7"/>
    <w:rsid w:val="00652923"/>
    <w:rsid w:val="00653C0F"/>
    <w:rsid w:val="00655E68"/>
    <w:rsid w:val="006560E1"/>
    <w:rsid w:val="00660746"/>
    <w:rsid w:val="00662649"/>
    <w:rsid w:val="00666E60"/>
    <w:rsid w:val="006711D6"/>
    <w:rsid w:val="00672CA0"/>
    <w:rsid w:val="00674A58"/>
    <w:rsid w:val="00675E78"/>
    <w:rsid w:val="006827AE"/>
    <w:rsid w:val="0068584B"/>
    <w:rsid w:val="0069062E"/>
    <w:rsid w:val="006939FE"/>
    <w:rsid w:val="006A0EDB"/>
    <w:rsid w:val="006A1CEC"/>
    <w:rsid w:val="006A1D2D"/>
    <w:rsid w:val="006A2CC1"/>
    <w:rsid w:val="006A2E9B"/>
    <w:rsid w:val="006A4AF5"/>
    <w:rsid w:val="006A75B5"/>
    <w:rsid w:val="006B0BC1"/>
    <w:rsid w:val="006B22CE"/>
    <w:rsid w:val="006C0D18"/>
    <w:rsid w:val="006C186B"/>
    <w:rsid w:val="006C224A"/>
    <w:rsid w:val="006C2C47"/>
    <w:rsid w:val="006C7A51"/>
    <w:rsid w:val="006D0F68"/>
    <w:rsid w:val="006D3C48"/>
    <w:rsid w:val="006D4929"/>
    <w:rsid w:val="006E0C8C"/>
    <w:rsid w:val="006E5C0E"/>
    <w:rsid w:val="006E64BF"/>
    <w:rsid w:val="006F0C25"/>
    <w:rsid w:val="006F1B51"/>
    <w:rsid w:val="006F2B0C"/>
    <w:rsid w:val="006F6309"/>
    <w:rsid w:val="00703136"/>
    <w:rsid w:val="00705C81"/>
    <w:rsid w:val="00706ED6"/>
    <w:rsid w:val="00710117"/>
    <w:rsid w:val="00711448"/>
    <w:rsid w:val="00711837"/>
    <w:rsid w:val="00711C73"/>
    <w:rsid w:val="00713B69"/>
    <w:rsid w:val="0072086E"/>
    <w:rsid w:val="00720948"/>
    <w:rsid w:val="0073240A"/>
    <w:rsid w:val="007350EC"/>
    <w:rsid w:val="00735A3D"/>
    <w:rsid w:val="00742BEC"/>
    <w:rsid w:val="00747F1A"/>
    <w:rsid w:val="00752E2B"/>
    <w:rsid w:val="00757422"/>
    <w:rsid w:val="00763B0D"/>
    <w:rsid w:val="007662E3"/>
    <w:rsid w:val="00775BE4"/>
    <w:rsid w:val="00781D42"/>
    <w:rsid w:val="007841E3"/>
    <w:rsid w:val="0079140E"/>
    <w:rsid w:val="00792EC0"/>
    <w:rsid w:val="00793745"/>
    <w:rsid w:val="007A0B18"/>
    <w:rsid w:val="007B1817"/>
    <w:rsid w:val="007B1905"/>
    <w:rsid w:val="007B1EB1"/>
    <w:rsid w:val="007B2444"/>
    <w:rsid w:val="007B4D53"/>
    <w:rsid w:val="007B7113"/>
    <w:rsid w:val="007C1AC3"/>
    <w:rsid w:val="007C33F7"/>
    <w:rsid w:val="007C40F8"/>
    <w:rsid w:val="007C5908"/>
    <w:rsid w:val="007C59CE"/>
    <w:rsid w:val="007C7EA8"/>
    <w:rsid w:val="007D0B12"/>
    <w:rsid w:val="007D57BE"/>
    <w:rsid w:val="007D7294"/>
    <w:rsid w:val="007E6EA7"/>
    <w:rsid w:val="007F6216"/>
    <w:rsid w:val="007F6B1E"/>
    <w:rsid w:val="007F73A3"/>
    <w:rsid w:val="007F7ABF"/>
    <w:rsid w:val="008010E0"/>
    <w:rsid w:val="00803C06"/>
    <w:rsid w:val="00804479"/>
    <w:rsid w:val="0080496B"/>
    <w:rsid w:val="00805C8D"/>
    <w:rsid w:val="00806B8E"/>
    <w:rsid w:val="00807565"/>
    <w:rsid w:val="00812185"/>
    <w:rsid w:val="00815214"/>
    <w:rsid w:val="0081692C"/>
    <w:rsid w:val="00817972"/>
    <w:rsid w:val="00817ABE"/>
    <w:rsid w:val="0082263B"/>
    <w:rsid w:val="00824AC7"/>
    <w:rsid w:val="00824D20"/>
    <w:rsid w:val="00831AEB"/>
    <w:rsid w:val="00832DCD"/>
    <w:rsid w:val="00832EE2"/>
    <w:rsid w:val="00834EAF"/>
    <w:rsid w:val="0083616E"/>
    <w:rsid w:val="0083717D"/>
    <w:rsid w:val="0084201F"/>
    <w:rsid w:val="008446D6"/>
    <w:rsid w:val="00845343"/>
    <w:rsid w:val="008465FA"/>
    <w:rsid w:val="00847E90"/>
    <w:rsid w:val="00853169"/>
    <w:rsid w:val="00854F5D"/>
    <w:rsid w:val="008654D7"/>
    <w:rsid w:val="008725FE"/>
    <w:rsid w:val="00874FD6"/>
    <w:rsid w:val="0087782C"/>
    <w:rsid w:val="00877B5D"/>
    <w:rsid w:val="00883C85"/>
    <w:rsid w:val="008845DC"/>
    <w:rsid w:val="00885579"/>
    <w:rsid w:val="008905C3"/>
    <w:rsid w:val="008914D7"/>
    <w:rsid w:val="00893CB9"/>
    <w:rsid w:val="008972C3"/>
    <w:rsid w:val="008A7951"/>
    <w:rsid w:val="008B0096"/>
    <w:rsid w:val="008C2088"/>
    <w:rsid w:val="008C3C0A"/>
    <w:rsid w:val="008C566D"/>
    <w:rsid w:val="008D1DEE"/>
    <w:rsid w:val="008D3E20"/>
    <w:rsid w:val="008D6CEF"/>
    <w:rsid w:val="008D76C2"/>
    <w:rsid w:val="008E11F2"/>
    <w:rsid w:val="008E3889"/>
    <w:rsid w:val="008E6A0A"/>
    <w:rsid w:val="008E7C37"/>
    <w:rsid w:val="008F19B1"/>
    <w:rsid w:val="008F3700"/>
    <w:rsid w:val="008F528D"/>
    <w:rsid w:val="008F57F9"/>
    <w:rsid w:val="00903814"/>
    <w:rsid w:val="0090457C"/>
    <w:rsid w:val="00905B08"/>
    <w:rsid w:val="00910511"/>
    <w:rsid w:val="00922E56"/>
    <w:rsid w:val="00923FDB"/>
    <w:rsid w:val="00930077"/>
    <w:rsid w:val="009318E6"/>
    <w:rsid w:val="0093762A"/>
    <w:rsid w:val="00941129"/>
    <w:rsid w:val="009443B9"/>
    <w:rsid w:val="009458A0"/>
    <w:rsid w:val="00945CB0"/>
    <w:rsid w:val="0094CAE2"/>
    <w:rsid w:val="00952425"/>
    <w:rsid w:val="00954BFB"/>
    <w:rsid w:val="00955726"/>
    <w:rsid w:val="00957A02"/>
    <w:rsid w:val="00960199"/>
    <w:rsid w:val="00963A91"/>
    <w:rsid w:val="009657C8"/>
    <w:rsid w:val="009671DD"/>
    <w:rsid w:val="0096D533"/>
    <w:rsid w:val="00970C1B"/>
    <w:rsid w:val="00975C53"/>
    <w:rsid w:val="009802B6"/>
    <w:rsid w:val="00980695"/>
    <w:rsid w:val="00980740"/>
    <w:rsid w:val="009908FF"/>
    <w:rsid w:val="009913D1"/>
    <w:rsid w:val="00992A62"/>
    <w:rsid w:val="00993297"/>
    <w:rsid w:val="00994FE5"/>
    <w:rsid w:val="009A01B6"/>
    <w:rsid w:val="009A1BF6"/>
    <w:rsid w:val="009A3CA5"/>
    <w:rsid w:val="009A6BD4"/>
    <w:rsid w:val="009A7658"/>
    <w:rsid w:val="009B01D0"/>
    <w:rsid w:val="009B3C36"/>
    <w:rsid w:val="009B472C"/>
    <w:rsid w:val="009B63C6"/>
    <w:rsid w:val="009B7467"/>
    <w:rsid w:val="009B77F2"/>
    <w:rsid w:val="009C2585"/>
    <w:rsid w:val="009C4433"/>
    <w:rsid w:val="009C4876"/>
    <w:rsid w:val="009D0A6F"/>
    <w:rsid w:val="009D25E2"/>
    <w:rsid w:val="009D2F14"/>
    <w:rsid w:val="009E3995"/>
    <w:rsid w:val="009F2F17"/>
    <w:rsid w:val="009F39CF"/>
    <w:rsid w:val="009F3C27"/>
    <w:rsid w:val="009F3DBC"/>
    <w:rsid w:val="00A006BC"/>
    <w:rsid w:val="00A02530"/>
    <w:rsid w:val="00A02ABA"/>
    <w:rsid w:val="00A126ED"/>
    <w:rsid w:val="00A150FB"/>
    <w:rsid w:val="00A16E32"/>
    <w:rsid w:val="00A20F18"/>
    <w:rsid w:val="00A25FB0"/>
    <w:rsid w:val="00A3071D"/>
    <w:rsid w:val="00A313BE"/>
    <w:rsid w:val="00A33545"/>
    <w:rsid w:val="00A345A4"/>
    <w:rsid w:val="00A45578"/>
    <w:rsid w:val="00A4702C"/>
    <w:rsid w:val="00A52B19"/>
    <w:rsid w:val="00A5311C"/>
    <w:rsid w:val="00A53E4A"/>
    <w:rsid w:val="00A60A2E"/>
    <w:rsid w:val="00A60E2D"/>
    <w:rsid w:val="00A61569"/>
    <w:rsid w:val="00A640F3"/>
    <w:rsid w:val="00A64662"/>
    <w:rsid w:val="00A64801"/>
    <w:rsid w:val="00A65F6C"/>
    <w:rsid w:val="00A70EA3"/>
    <w:rsid w:val="00A713E3"/>
    <w:rsid w:val="00A74F25"/>
    <w:rsid w:val="00A75FFF"/>
    <w:rsid w:val="00A82608"/>
    <w:rsid w:val="00A86E4A"/>
    <w:rsid w:val="00A92941"/>
    <w:rsid w:val="00A93D38"/>
    <w:rsid w:val="00A94AD0"/>
    <w:rsid w:val="00A95AFF"/>
    <w:rsid w:val="00AA29C2"/>
    <w:rsid w:val="00AA3ABB"/>
    <w:rsid w:val="00AA69EE"/>
    <w:rsid w:val="00AB2868"/>
    <w:rsid w:val="00AB2A84"/>
    <w:rsid w:val="00AB6D33"/>
    <w:rsid w:val="00AB7509"/>
    <w:rsid w:val="00AC0AC5"/>
    <w:rsid w:val="00AC194E"/>
    <w:rsid w:val="00AC3CFE"/>
    <w:rsid w:val="00AD6712"/>
    <w:rsid w:val="00AD7BAD"/>
    <w:rsid w:val="00AF34CE"/>
    <w:rsid w:val="00AF4DA7"/>
    <w:rsid w:val="00AF60DF"/>
    <w:rsid w:val="00B02F3D"/>
    <w:rsid w:val="00B03BDC"/>
    <w:rsid w:val="00B04248"/>
    <w:rsid w:val="00B1027A"/>
    <w:rsid w:val="00B14A63"/>
    <w:rsid w:val="00B152A5"/>
    <w:rsid w:val="00B15858"/>
    <w:rsid w:val="00B17296"/>
    <w:rsid w:val="00B20C2E"/>
    <w:rsid w:val="00B30EE4"/>
    <w:rsid w:val="00B3698F"/>
    <w:rsid w:val="00B42380"/>
    <w:rsid w:val="00B4368F"/>
    <w:rsid w:val="00B4369B"/>
    <w:rsid w:val="00B471E0"/>
    <w:rsid w:val="00B51376"/>
    <w:rsid w:val="00B51A24"/>
    <w:rsid w:val="00B55203"/>
    <w:rsid w:val="00B56B5F"/>
    <w:rsid w:val="00B60054"/>
    <w:rsid w:val="00B609BF"/>
    <w:rsid w:val="00B629AD"/>
    <w:rsid w:val="00B645C6"/>
    <w:rsid w:val="00B65E76"/>
    <w:rsid w:val="00B70CBB"/>
    <w:rsid w:val="00B7266B"/>
    <w:rsid w:val="00B77EB0"/>
    <w:rsid w:val="00B8077A"/>
    <w:rsid w:val="00B863C0"/>
    <w:rsid w:val="00B917FC"/>
    <w:rsid w:val="00B91A2A"/>
    <w:rsid w:val="00B92B73"/>
    <w:rsid w:val="00B96BCE"/>
    <w:rsid w:val="00B97505"/>
    <w:rsid w:val="00BA33BE"/>
    <w:rsid w:val="00BA66DD"/>
    <w:rsid w:val="00BB0B6A"/>
    <w:rsid w:val="00BC02AE"/>
    <w:rsid w:val="00BC2CED"/>
    <w:rsid w:val="00BC7FFD"/>
    <w:rsid w:val="00BD24BC"/>
    <w:rsid w:val="00BD412E"/>
    <w:rsid w:val="00BE2101"/>
    <w:rsid w:val="00BE6121"/>
    <w:rsid w:val="00BF3AE0"/>
    <w:rsid w:val="00BF4F6D"/>
    <w:rsid w:val="00BF5448"/>
    <w:rsid w:val="00BF5C49"/>
    <w:rsid w:val="00BF5EB0"/>
    <w:rsid w:val="00C00B16"/>
    <w:rsid w:val="00C01A45"/>
    <w:rsid w:val="00C03685"/>
    <w:rsid w:val="00C05E66"/>
    <w:rsid w:val="00C05FEF"/>
    <w:rsid w:val="00C11A72"/>
    <w:rsid w:val="00C12B2F"/>
    <w:rsid w:val="00C139D6"/>
    <w:rsid w:val="00C14186"/>
    <w:rsid w:val="00C2066C"/>
    <w:rsid w:val="00C21137"/>
    <w:rsid w:val="00C2246A"/>
    <w:rsid w:val="00C26A22"/>
    <w:rsid w:val="00C3173C"/>
    <w:rsid w:val="00C33815"/>
    <w:rsid w:val="00C362D5"/>
    <w:rsid w:val="00C37E11"/>
    <w:rsid w:val="00C41337"/>
    <w:rsid w:val="00C4527D"/>
    <w:rsid w:val="00C5252C"/>
    <w:rsid w:val="00C64411"/>
    <w:rsid w:val="00C65E6E"/>
    <w:rsid w:val="00C70869"/>
    <w:rsid w:val="00C758EC"/>
    <w:rsid w:val="00C77D3A"/>
    <w:rsid w:val="00C8594C"/>
    <w:rsid w:val="00C90252"/>
    <w:rsid w:val="00C909A7"/>
    <w:rsid w:val="00C92DEB"/>
    <w:rsid w:val="00C942AD"/>
    <w:rsid w:val="00CA0384"/>
    <w:rsid w:val="00CA33F5"/>
    <w:rsid w:val="00CA5BEA"/>
    <w:rsid w:val="00CB75DD"/>
    <w:rsid w:val="00CB7E73"/>
    <w:rsid w:val="00CC34EA"/>
    <w:rsid w:val="00CC6451"/>
    <w:rsid w:val="00CE6509"/>
    <w:rsid w:val="00CE740C"/>
    <w:rsid w:val="00CF14AF"/>
    <w:rsid w:val="00CF31E2"/>
    <w:rsid w:val="00CF38D2"/>
    <w:rsid w:val="00CF3BB6"/>
    <w:rsid w:val="00CF641E"/>
    <w:rsid w:val="00CF79B8"/>
    <w:rsid w:val="00D011A8"/>
    <w:rsid w:val="00D01587"/>
    <w:rsid w:val="00D02FD2"/>
    <w:rsid w:val="00D114EA"/>
    <w:rsid w:val="00D1257C"/>
    <w:rsid w:val="00D1351F"/>
    <w:rsid w:val="00D1746F"/>
    <w:rsid w:val="00D21FFB"/>
    <w:rsid w:val="00D226E8"/>
    <w:rsid w:val="00D25E14"/>
    <w:rsid w:val="00D330E6"/>
    <w:rsid w:val="00D34E0E"/>
    <w:rsid w:val="00D35AE3"/>
    <w:rsid w:val="00D50538"/>
    <w:rsid w:val="00D516F0"/>
    <w:rsid w:val="00D53E99"/>
    <w:rsid w:val="00D54573"/>
    <w:rsid w:val="00D7192C"/>
    <w:rsid w:val="00D73B0A"/>
    <w:rsid w:val="00D75BAD"/>
    <w:rsid w:val="00D83839"/>
    <w:rsid w:val="00D83855"/>
    <w:rsid w:val="00D86367"/>
    <w:rsid w:val="00D86456"/>
    <w:rsid w:val="00D87731"/>
    <w:rsid w:val="00D87D9C"/>
    <w:rsid w:val="00D9288D"/>
    <w:rsid w:val="00D92ABD"/>
    <w:rsid w:val="00D9316F"/>
    <w:rsid w:val="00D933ED"/>
    <w:rsid w:val="00DA0FF9"/>
    <w:rsid w:val="00DA3037"/>
    <w:rsid w:val="00DB204F"/>
    <w:rsid w:val="00DB2823"/>
    <w:rsid w:val="00DC0A8C"/>
    <w:rsid w:val="00DC4E1C"/>
    <w:rsid w:val="00DC5CF7"/>
    <w:rsid w:val="00DD0110"/>
    <w:rsid w:val="00DD223C"/>
    <w:rsid w:val="00DD3018"/>
    <w:rsid w:val="00DD3AB2"/>
    <w:rsid w:val="00DD502A"/>
    <w:rsid w:val="00DD7004"/>
    <w:rsid w:val="00DE4B09"/>
    <w:rsid w:val="00DE634B"/>
    <w:rsid w:val="00DE6F36"/>
    <w:rsid w:val="00DE7AD2"/>
    <w:rsid w:val="00DF3599"/>
    <w:rsid w:val="00DF7F47"/>
    <w:rsid w:val="00E029BB"/>
    <w:rsid w:val="00E029CF"/>
    <w:rsid w:val="00E04BEC"/>
    <w:rsid w:val="00E04FE7"/>
    <w:rsid w:val="00E15CF5"/>
    <w:rsid w:val="00E20211"/>
    <w:rsid w:val="00E21FFA"/>
    <w:rsid w:val="00E22104"/>
    <w:rsid w:val="00E228EC"/>
    <w:rsid w:val="00E236BD"/>
    <w:rsid w:val="00E2465F"/>
    <w:rsid w:val="00E24C7C"/>
    <w:rsid w:val="00E26645"/>
    <w:rsid w:val="00E26E74"/>
    <w:rsid w:val="00E37EBE"/>
    <w:rsid w:val="00E41A60"/>
    <w:rsid w:val="00E42C93"/>
    <w:rsid w:val="00E44627"/>
    <w:rsid w:val="00E45B5F"/>
    <w:rsid w:val="00E50CE7"/>
    <w:rsid w:val="00E5260F"/>
    <w:rsid w:val="00E52AC1"/>
    <w:rsid w:val="00E551A4"/>
    <w:rsid w:val="00E5584B"/>
    <w:rsid w:val="00E5591A"/>
    <w:rsid w:val="00E613B4"/>
    <w:rsid w:val="00E64CE1"/>
    <w:rsid w:val="00E676AE"/>
    <w:rsid w:val="00E72FC1"/>
    <w:rsid w:val="00E749CA"/>
    <w:rsid w:val="00E764C9"/>
    <w:rsid w:val="00E804BC"/>
    <w:rsid w:val="00E84DC0"/>
    <w:rsid w:val="00E85159"/>
    <w:rsid w:val="00E87108"/>
    <w:rsid w:val="00E8715C"/>
    <w:rsid w:val="00E91D8A"/>
    <w:rsid w:val="00E929FA"/>
    <w:rsid w:val="00E9610F"/>
    <w:rsid w:val="00EA4894"/>
    <w:rsid w:val="00EB0E2E"/>
    <w:rsid w:val="00EB2D01"/>
    <w:rsid w:val="00EB76F4"/>
    <w:rsid w:val="00EB7737"/>
    <w:rsid w:val="00EC2596"/>
    <w:rsid w:val="00EC27CD"/>
    <w:rsid w:val="00EC463F"/>
    <w:rsid w:val="00ED08B6"/>
    <w:rsid w:val="00ED220E"/>
    <w:rsid w:val="00ED3041"/>
    <w:rsid w:val="00ED7A64"/>
    <w:rsid w:val="00EE227A"/>
    <w:rsid w:val="00EE3A12"/>
    <w:rsid w:val="00EE3B17"/>
    <w:rsid w:val="00EE3C3C"/>
    <w:rsid w:val="00EE5846"/>
    <w:rsid w:val="00EE5EF8"/>
    <w:rsid w:val="00EE6435"/>
    <w:rsid w:val="00EE6F6F"/>
    <w:rsid w:val="00EF12A8"/>
    <w:rsid w:val="00EF35F1"/>
    <w:rsid w:val="00EF372C"/>
    <w:rsid w:val="00EF60CC"/>
    <w:rsid w:val="00EF7697"/>
    <w:rsid w:val="00F00239"/>
    <w:rsid w:val="00F02BC7"/>
    <w:rsid w:val="00F03778"/>
    <w:rsid w:val="00F0728A"/>
    <w:rsid w:val="00F12840"/>
    <w:rsid w:val="00F1483F"/>
    <w:rsid w:val="00F151C1"/>
    <w:rsid w:val="00F168F1"/>
    <w:rsid w:val="00F2110B"/>
    <w:rsid w:val="00F25AF0"/>
    <w:rsid w:val="00F266B4"/>
    <w:rsid w:val="00F320E4"/>
    <w:rsid w:val="00F321CB"/>
    <w:rsid w:val="00F32218"/>
    <w:rsid w:val="00F3440F"/>
    <w:rsid w:val="00F34A36"/>
    <w:rsid w:val="00F35D34"/>
    <w:rsid w:val="00F43C6B"/>
    <w:rsid w:val="00F47585"/>
    <w:rsid w:val="00F50433"/>
    <w:rsid w:val="00F525BB"/>
    <w:rsid w:val="00F53F12"/>
    <w:rsid w:val="00F60D5B"/>
    <w:rsid w:val="00F73836"/>
    <w:rsid w:val="00F81187"/>
    <w:rsid w:val="00F862E0"/>
    <w:rsid w:val="00F91E39"/>
    <w:rsid w:val="00F94C35"/>
    <w:rsid w:val="00F95E4E"/>
    <w:rsid w:val="00F95E79"/>
    <w:rsid w:val="00F9784C"/>
    <w:rsid w:val="00FA2A50"/>
    <w:rsid w:val="00FA6F1B"/>
    <w:rsid w:val="00FA714D"/>
    <w:rsid w:val="00FB064D"/>
    <w:rsid w:val="00FB56D4"/>
    <w:rsid w:val="00FC0A59"/>
    <w:rsid w:val="00FC5657"/>
    <w:rsid w:val="00FC7B7E"/>
    <w:rsid w:val="00FD3707"/>
    <w:rsid w:val="00FD5747"/>
    <w:rsid w:val="00FD5B71"/>
    <w:rsid w:val="00FD5BD4"/>
    <w:rsid w:val="00FD7CAD"/>
    <w:rsid w:val="00FE05A7"/>
    <w:rsid w:val="00FE323F"/>
    <w:rsid w:val="00FE501B"/>
    <w:rsid w:val="00FF337A"/>
    <w:rsid w:val="00FF4D0C"/>
    <w:rsid w:val="01049E89"/>
    <w:rsid w:val="01082D89"/>
    <w:rsid w:val="013BE353"/>
    <w:rsid w:val="01492903"/>
    <w:rsid w:val="016E4E86"/>
    <w:rsid w:val="019FE045"/>
    <w:rsid w:val="01A9194F"/>
    <w:rsid w:val="01B8C08F"/>
    <w:rsid w:val="01E02BA0"/>
    <w:rsid w:val="0232866D"/>
    <w:rsid w:val="02340601"/>
    <w:rsid w:val="024A2C3A"/>
    <w:rsid w:val="02520132"/>
    <w:rsid w:val="02921B13"/>
    <w:rsid w:val="029346A1"/>
    <w:rsid w:val="0295F6D6"/>
    <w:rsid w:val="02B853C6"/>
    <w:rsid w:val="02FE2703"/>
    <w:rsid w:val="0304AD86"/>
    <w:rsid w:val="03061BF7"/>
    <w:rsid w:val="031DDCF5"/>
    <w:rsid w:val="036DEB23"/>
    <w:rsid w:val="0381F6C9"/>
    <w:rsid w:val="038B197C"/>
    <w:rsid w:val="03AE5102"/>
    <w:rsid w:val="03D74FCE"/>
    <w:rsid w:val="03DAE1AC"/>
    <w:rsid w:val="03E4731B"/>
    <w:rsid w:val="03E930EE"/>
    <w:rsid w:val="03FF5D69"/>
    <w:rsid w:val="040749EC"/>
    <w:rsid w:val="04140403"/>
    <w:rsid w:val="0426BF40"/>
    <w:rsid w:val="0449521A"/>
    <w:rsid w:val="0452B744"/>
    <w:rsid w:val="04617F4E"/>
    <w:rsid w:val="04660D37"/>
    <w:rsid w:val="0471EFB9"/>
    <w:rsid w:val="04737448"/>
    <w:rsid w:val="047AD493"/>
    <w:rsid w:val="0495283A"/>
    <w:rsid w:val="04BF8CFC"/>
    <w:rsid w:val="04D3AAD8"/>
    <w:rsid w:val="04EA6594"/>
    <w:rsid w:val="04FAFA8C"/>
    <w:rsid w:val="051759A0"/>
    <w:rsid w:val="05183784"/>
    <w:rsid w:val="0521B736"/>
    <w:rsid w:val="0522DE64"/>
    <w:rsid w:val="0523F765"/>
    <w:rsid w:val="05426FCA"/>
    <w:rsid w:val="056E056C"/>
    <w:rsid w:val="0576DB73"/>
    <w:rsid w:val="05A31BBA"/>
    <w:rsid w:val="05A6C403"/>
    <w:rsid w:val="05ADF2E8"/>
    <w:rsid w:val="05BD81CE"/>
    <w:rsid w:val="05F24E66"/>
    <w:rsid w:val="05F32BB9"/>
    <w:rsid w:val="05F58713"/>
    <w:rsid w:val="05FF0361"/>
    <w:rsid w:val="060B1950"/>
    <w:rsid w:val="061F5F7B"/>
    <w:rsid w:val="064EB00C"/>
    <w:rsid w:val="065125C3"/>
    <w:rsid w:val="06726745"/>
    <w:rsid w:val="068C2DDB"/>
    <w:rsid w:val="06B33BBB"/>
    <w:rsid w:val="06C6AD7D"/>
    <w:rsid w:val="06E1DC14"/>
    <w:rsid w:val="06E8F2ED"/>
    <w:rsid w:val="06F8C139"/>
    <w:rsid w:val="07187C75"/>
    <w:rsid w:val="07FA6A4E"/>
    <w:rsid w:val="08159B5A"/>
    <w:rsid w:val="0833E015"/>
    <w:rsid w:val="084EFB41"/>
    <w:rsid w:val="08971279"/>
    <w:rsid w:val="08AE6287"/>
    <w:rsid w:val="08B2763E"/>
    <w:rsid w:val="08D9D115"/>
    <w:rsid w:val="092921E1"/>
    <w:rsid w:val="0947F157"/>
    <w:rsid w:val="09CECE58"/>
    <w:rsid w:val="0A053FA6"/>
    <w:rsid w:val="0A06298B"/>
    <w:rsid w:val="0A14B526"/>
    <w:rsid w:val="0A1E9D53"/>
    <w:rsid w:val="0A255D30"/>
    <w:rsid w:val="0A4DA677"/>
    <w:rsid w:val="0A521064"/>
    <w:rsid w:val="0A94E55E"/>
    <w:rsid w:val="0AA7582B"/>
    <w:rsid w:val="0AAA64BC"/>
    <w:rsid w:val="0AB73D9F"/>
    <w:rsid w:val="0AC7D8BF"/>
    <w:rsid w:val="0AED0E99"/>
    <w:rsid w:val="0B2A8905"/>
    <w:rsid w:val="0B474D17"/>
    <w:rsid w:val="0B485AC9"/>
    <w:rsid w:val="0B4B9ADF"/>
    <w:rsid w:val="0B8B73C5"/>
    <w:rsid w:val="0B9A5722"/>
    <w:rsid w:val="0BA299EC"/>
    <w:rsid w:val="0BB0E570"/>
    <w:rsid w:val="0BD6B9BA"/>
    <w:rsid w:val="0BE072A0"/>
    <w:rsid w:val="0BF50CC3"/>
    <w:rsid w:val="0BFBF227"/>
    <w:rsid w:val="0BFCF699"/>
    <w:rsid w:val="0C02E7CA"/>
    <w:rsid w:val="0C14C7CD"/>
    <w:rsid w:val="0C30E31D"/>
    <w:rsid w:val="0C3182BD"/>
    <w:rsid w:val="0C3D6343"/>
    <w:rsid w:val="0C4C136A"/>
    <w:rsid w:val="0C500DE1"/>
    <w:rsid w:val="0C5FD885"/>
    <w:rsid w:val="0CAC2744"/>
    <w:rsid w:val="0CDD2485"/>
    <w:rsid w:val="0CDEE7CB"/>
    <w:rsid w:val="0CDEF4E3"/>
    <w:rsid w:val="0CF4CFE7"/>
    <w:rsid w:val="0D1E9317"/>
    <w:rsid w:val="0D23B29B"/>
    <w:rsid w:val="0D3F438F"/>
    <w:rsid w:val="0D52D722"/>
    <w:rsid w:val="0D5926EE"/>
    <w:rsid w:val="0D5B666C"/>
    <w:rsid w:val="0D5DF4E1"/>
    <w:rsid w:val="0D98509E"/>
    <w:rsid w:val="0D9FF4CF"/>
    <w:rsid w:val="0DC2B644"/>
    <w:rsid w:val="0DC47EA6"/>
    <w:rsid w:val="0DD1194E"/>
    <w:rsid w:val="0DD70198"/>
    <w:rsid w:val="0E042FA6"/>
    <w:rsid w:val="0E1A91B8"/>
    <w:rsid w:val="0E5A6FB4"/>
    <w:rsid w:val="0E7FB281"/>
    <w:rsid w:val="0E9C075F"/>
    <w:rsid w:val="0EAB7FDA"/>
    <w:rsid w:val="0ECC2D0A"/>
    <w:rsid w:val="0EE99067"/>
    <w:rsid w:val="0EF0AFF2"/>
    <w:rsid w:val="0EFA247F"/>
    <w:rsid w:val="0F00DEF3"/>
    <w:rsid w:val="0F0D9648"/>
    <w:rsid w:val="0F2378EA"/>
    <w:rsid w:val="0F57AD4E"/>
    <w:rsid w:val="0F71E55C"/>
    <w:rsid w:val="0F8C566B"/>
    <w:rsid w:val="0FAF42A0"/>
    <w:rsid w:val="0FC2CAB7"/>
    <w:rsid w:val="0FC392F3"/>
    <w:rsid w:val="0FDDAF30"/>
    <w:rsid w:val="0FE398E5"/>
    <w:rsid w:val="10115D00"/>
    <w:rsid w:val="1015405A"/>
    <w:rsid w:val="102012B9"/>
    <w:rsid w:val="10380299"/>
    <w:rsid w:val="1059A832"/>
    <w:rsid w:val="105AAA13"/>
    <w:rsid w:val="105CB119"/>
    <w:rsid w:val="10707AB0"/>
    <w:rsid w:val="107F4879"/>
    <w:rsid w:val="107FD5E1"/>
    <w:rsid w:val="10A5B56B"/>
    <w:rsid w:val="10E667F0"/>
    <w:rsid w:val="10F8EF4B"/>
    <w:rsid w:val="10FEB174"/>
    <w:rsid w:val="1109FADC"/>
    <w:rsid w:val="115A5E9D"/>
    <w:rsid w:val="117B3837"/>
    <w:rsid w:val="1186EFF1"/>
    <w:rsid w:val="11AD3A11"/>
    <w:rsid w:val="11B0F1F0"/>
    <w:rsid w:val="11C1FCBD"/>
    <w:rsid w:val="11D4C63A"/>
    <w:rsid w:val="11F2BEB8"/>
    <w:rsid w:val="11F4C115"/>
    <w:rsid w:val="1218132E"/>
    <w:rsid w:val="1227D29B"/>
    <w:rsid w:val="1230356B"/>
    <w:rsid w:val="1256C7A8"/>
    <w:rsid w:val="127AF838"/>
    <w:rsid w:val="12C258D4"/>
    <w:rsid w:val="12D7A0C9"/>
    <w:rsid w:val="130BC188"/>
    <w:rsid w:val="13121D1B"/>
    <w:rsid w:val="134B00AC"/>
    <w:rsid w:val="13570918"/>
    <w:rsid w:val="136FA250"/>
    <w:rsid w:val="137013A7"/>
    <w:rsid w:val="13776A52"/>
    <w:rsid w:val="139AD117"/>
    <w:rsid w:val="13A596C4"/>
    <w:rsid w:val="13C096A9"/>
    <w:rsid w:val="140FCA05"/>
    <w:rsid w:val="1429E4D7"/>
    <w:rsid w:val="1447B03E"/>
    <w:rsid w:val="14552879"/>
    <w:rsid w:val="145EC227"/>
    <w:rsid w:val="1466E234"/>
    <w:rsid w:val="14725AE3"/>
    <w:rsid w:val="147683F7"/>
    <w:rsid w:val="148C0905"/>
    <w:rsid w:val="1493FB4A"/>
    <w:rsid w:val="14C4F4EF"/>
    <w:rsid w:val="14D464FC"/>
    <w:rsid w:val="14E7A240"/>
    <w:rsid w:val="14F0312E"/>
    <w:rsid w:val="15079DCE"/>
    <w:rsid w:val="1512A202"/>
    <w:rsid w:val="153CE617"/>
    <w:rsid w:val="153FEFC4"/>
    <w:rsid w:val="1542639D"/>
    <w:rsid w:val="1559D2ED"/>
    <w:rsid w:val="156BE32E"/>
    <w:rsid w:val="156CC2C8"/>
    <w:rsid w:val="157DA6A3"/>
    <w:rsid w:val="158E3960"/>
    <w:rsid w:val="15A2D46D"/>
    <w:rsid w:val="15B41149"/>
    <w:rsid w:val="15BC07D2"/>
    <w:rsid w:val="15CEEAD3"/>
    <w:rsid w:val="15CF8316"/>
    <w:rsid w:val="15D7172B"/>
    <w:rsid w:val="15DB93BB"/>
    <w:rsid w:val="1603CBE0"/>
    <w:rsid w:val="160BCA32"/>
    <w:rsid w:val="165AFA1E"/>
    <w:rsid w:val="166769B7"/>
    <w:rsid w:val="166FFDDA"/>
    <w:rsid w:val="16C23F24"/>
    <w:rsid w:val="16E1F2A4"/>
    <w:rsid w:val="173038D1"/>
    <w:rsid w:val="173A1600"/>
    <w:rsid w:val="17482EAE"/>
    <w:rsid w:val="1782871D"/>
    <w:rsid w:val="17881CC3"/>
    <w:rsid w:val="17958BB3"/>
    <w:rsid w:val="17ADD335"/>
    <w:rsid w:val="17FC49AC"/>
    <w:rsid w:val="18145A21"/>
    <w:rsid w:val="18165668"/>
    <w:rsid w:val="184C6F65"/>
    <w:rsid w:val="1897ED76"/>
    <w:rsid w:val="1899E8C5"/>
    <w:rsid w:val="191F618F"/>
    <w:rsid w:val="197CA4EB"/>
    <w:rsid w:val="19AC5E79"/>
    <w:rsid w:val="19B549EE"/>
    <w:rsid w:val="19C858D8"/>
    <w:rsid w:val="19EF23DB"/>
    <w:rsid w:val="1A215872"/>
    <w:rsid w:val="1A6CBA8F"/>
    <w:rsid w:val="1A86605A"/>
    <w:rsid w:val="1ADB6035"/>
    <w:rsid w:val="1AE5E176"/>
    <w:rsid w:val="1AE7C844"/>
    <w:rsid w:val="1AEA0210"/>
    <w:rsid w:val="1B003EB5"/>
    <w:rsid w:val="1B0FF2EE"/>
    <w:rsid w:val="1B46DC0D"/>
    <w:rsid w:val="1B48AC28"/>
    <w:rsid w:val="1B4CFE49"/>
    <w:rsid w:val="1BA4FDD1"/>
    <w:rsid w:val="1BD31F52"/>
    <w:rsid w:val="1BD4039E"/>
    <w:rsid w:val="1BEBB937"/>
    <w:rsid w:val="1BED9C5D"/>
    <w:rsid w:val="1C0EEC25"/>
    <w:rsid w:val="1C2597C5"/>
    <w:rsid w:val="1C62A437"/>
    <w:rsid w:val="1C7FB6A2"/>
    <w:rsid w:val="1CBFA151"/>
    <w:rsid w:val="1CC81CA8"/>
    <w:rsid w:val="1CD8598A"/>
    <w:rsid w:val="1CEB9F76"/>
    <w:rsid w:val="1CF06972"/>
    <w:rsid w:val="1D1EC9FD"/>
    <w:rsid w:val="1D25C815"/>
    <w:rsid w:val="1D289666"/>
    <w:rsid w:val="1D2EFB0A"/>
    <w:rsid w:val="1D355208"/>
    <w:rsid w:val="1D5F25A9"/>
    <w:rsid w:val="1D64716B"/>
    <w:rsid w:val="1D6D59E8"/>
    <w:rsid w:val="1D7FF749"/>
    <w:rsid w:val="1DA7A357"/>
    <w:rsid w:val="1DBBDE1E"/>
    <w:rsid w:val="1DBF7C1F"/>
    <w:rsid w:val="1DC82B5F"/>
    <w:rsid w:val="1DD5215D"/>
    <w:rsid w:val="1DF154B2"/>
    <w:rsid w:val="1DFDC06D"/>
    <w:rsid w:val="1E27DC51"/>
    <w:rsid w:val="1E29D1DD"/>
    <w:rsid w:val="1E36D91B"/>
    <w:rsid w:val="1E3904C6"/>
    <w:rsid w:val="1E4C4A9C"/>
    <w:rsid w:val="1E51C0A9"/>
    <w:rsid w:val="1E58A670"/>
    <w:rsid w:val="1E5F89E0"/>
    <w:rsid w:val="1E867266"/>
    <w:rsid w:val="1EE4BE3E"/>
    <w:rsid w:val="1EE61354"/>
    <w:rsid w:val="1EEDAAAE"/>
    <w:rsid w:val="1EF49262"/>
    <w:rsid w:val="1F01876D"/>
    <w:rsid w:val="1F0FEA71"/>
    <w:rsid w:val="1F30A141"/>
    <w:rsid w:val="1F3196D1"/>
    <w:rsid w:val="1F415790"/>
    <w:rsid w:val="1F4D56D0"/>
    <w:rsid w:val="1F6779EF"/>
    <w:rsid w:val="1F730C1B"/>
    <w:rsid w:val="1F851257"/>
    <w:rsid w:val="1F96FC80"/>
    <w:rsid w:val="1FADABE2"/>
    <w:rsid w:val="1FE5D751"/>
    <w:rsid w:val="1FF105DB"/>
    <w:rsid w:val="1FF21A83"/>
    <w:rsid w:val="1FF28D6F"/>
    <w:rsid w:val="2008C840"/>
    <w:rsid w:val="200E32AB"/>
    <w:rsid w:val="20247047"/>
    <w:rsid w:val="202594A0"/>
    <w:rsid w:val="2044A43B"/>
    <w:rsid w:val="205EF1F7"/>
    <w:rsid w:val="20699045"/>
    <w:rsid w:val="2079FCED"/>
    <w:rsid w:val="20877665"/>
    <w:rsid w:val="20AFA840"/>
    <w:rsid w:val="20B5FEAF"/>
    <w:rsid w:val="20CCE8CA"/>
    <w:rsid w:val="20CF2D41"/>
    <w:rsid w:val="20E1184F"/>
    <w:rsid w:val="210C0BBC"/>
    <w:rsid w:val="21431D48"/>
    <w:rsid w:val="21462BA1"/>
    <w:rsid w:val="21480CE6"/>
    <w:rsid w:val="2153F269"/>
    <w:rsid w:val="215F7966"/>
    <w:rsid w:val="2194C915"/>
    <w:rsid w:val="21BB7FCC"/>
    <w:rsid w:val="21BF397C"/>
    <w:rsid w:val="21E3456B"/>
    <w:rsid w:val="21E8CFCC"/>
    <w:rsid w:val="21F1FC03"/>
    <w:rsid w:val="222EE346"/>
    <w:rsid w:val="2265E3F2"/>
    <w:rsid w:val="2279A513"/>
    <w:rsid w:val="22850BC1"/>
    <w:rsid w:val="228660F9"/>
    <w:rsid w:val="22881D63"/>
    <w:rsid w:val="22898BD4"/>
    <w:rsid w:val="22907D6D"/>
    <w:rsid w:val="22C03D46"/>
    <w:rsid w:val="22C59571"/>
    <w:rsid w:val="22D01550"/>
    <w:rsid w:val="22E21C70"/>
    <w:rsid w:val="2319830C"/>
    <w:rsid w:val="2323228A"/>
    <w:rsid w:val="2323B86A"/>
    <w:rsid w:val="2329BB45"/>
    <w:rsid w:val="23462BD4"/>
    <w:rsid w:val="2366B0E4"/>
    <w:rsid w:val="236CADE1"/>
    <w:rsid w:val="238089C5"/>
    <w:rsid w:val="2390EEFB"/>
    <w:rsid w:val="2393AAA2"/>
    <w:rsid w:val="23CC4208"/>
    <w:rsid w:val="23D70A4A"/>
    <w:rsid w:val="23EF4120"/>
    <w:rsid w:val="23F0D4B7"/>
    <w:rsid w:val="242D1787"/>
    <w:rsid w:val="244B8CFF"/>
    <w:rsid w:val="245A6C63"/>
    <w:rsid w:val="2463F71D"/>
    <w:rsid w:val="2464F437"/>
    <w:rsid w:val="248D5EBE"/>
    <w:rsid w:val="24923230"/>
    <w:rsid w:val="24B3A044"/>
    <w:rsid w:val="24B9947E"/>
    <w:rsid w:val="24BF80BE"/>
    <w:rsid w:val="24C4C03B"/>
    <w:rsid w:val="24CBBB3C"/>
    <w:rsid w:val="24D16409"/>
    <w:rsid w:val="24FCF8CC"/>
    <w:rsid w:val="25055E53"/>
    <w:rsid w:val="2524F2E1"/>
    <w:rsid w:val="255EF539"/>
    <w:rsid w:val="256284B9"/>
    <w:rsid w:val="256AED39"/>
    <w:rsid w:val="25892804"/>
    <w:rsid w:val="259D7DFD"/>
    <w:rsid w:val="25AC8FBB"/>
    <w:rsid w:val="25ACFE58"/>
    <w:rsid w:val="25B8C566"/>
    <w:rsid w:val="25C81955"/>
    <w:rsid w:val="25D4715D"/>
    <w:rsid w:val="25E93382"/>
    <w:rsid w:val="25F0E234"/>
    <w:rsid w:val="262D8F49"/>
    <w:rsid w:val="264106CC"/>
    <w:rsid w:val="2641CC28"/>
    <w:rsid w:val="2666335F"/>
    <w:rsid w:val="26780E76"/>
    <w:rsid w:val="2693B862"/>
    <w:rsid w:val="26BE1A7D"/>
    <w:rsid w:val="26BFA033"/>
    <w:rsid w:val="26F1879B"/>
    <w:rsid w:val="273E43D7"/>
    <w:rsid w:val="2740E133"/>
    <w:rsid w:val="27576568"/>
    <w:rsid w:val="275D2FC8"/>
    <w:rsid w:val="275EF31D"/>
    <w:rsid w:val="27657C17"/>
    <w:rsid w:val="278A60B8"/>
    <w:rsid w:val="27C61343"/>
    <w:rsid w:val="27E5EB36"/>
    <w:rsid w:val="27F09E65"/>
    <w:rsid w:val="27F1FC76"/>
    <w:rsid w:val="27FE05E1"/>
    <w:rsid w:val="280B6454"/>
    <w:rsid w:val="285674B6"/>
    <w:rsid w:val="2887CDA9"/>
    <w:rsid w:val="28903F1D"/>
    <w:rsid w:val="28968928"/>
    <w:rsid w:val="28BF9F25"/>
    <w:rsid w:val="28C7B80F"/>
    <w:rsid w:val="28FCBBBC"/>
    <w:rsid w:val="2913B90A"/>
    <w:rsid w:val="29150F52"/>
    <w:rsid w:val="2919050F"/>
    <w:rsid w:val="29512F61"/>
    <w:rsid w:val="295F009A"/>
    <w:rsid w:val="29906820"/>
    <w:rsid w:val="29A00B99"/>
    <w:rsid w:val="29BFBC17"/>
    <w:rsid w:val="29C34E5C"/>
    <w:rsid w:val="29C41129"/>
    <w:rsid w:val="29CF24C8"/>
    <w:rsid w:val="29E86303"/>
    <w:rsid w:val="29FD34A0"/>
    <w:rsid w:val="2A088056"/>
    <w:rsid w:val="2A1301CF"/>
    <w:rsid w:val="2A38365B"/>
    <w:rsid w:val="2A526AF8"/>
    <w:rsid w:val="2A566348"/>
    <w:rsid w:val="2A5CF18F"/>
    <w:rsid w:val="2A74665D"/>
    <w:rsid w:val="2A96F93F"/>
    <w:rsid w:val="2AC76F4D"/>
    <w:rsid w:val="2AE51A6F"/>
    <w:rsid w:val="2B0C0A48"/>
    <w:rsid w:val="2B1A9A20"/>
    <w:rsid w:val="2B573EE2"/>
    <w:rsid w:val="2B6030CB"/>
    <w:rsid w:val="2B6A1883"/>
    <w:rsid w:val="2B903C6A"/>
    <w:rsid w:val="2B9F5E97"/>
    <w:rsid w:val="2BD1C51C"/>
    <w:rsid w:val="2BE61729"/>
    <w:rsid w:val="2BF40E49"/>
    <w:rsid w:val="2BF8BFC3"/>
    <w:rsid w:val="2C288285"/>
    <w:rsid w:val="2C2A27C6"/>
    <w:rsid w:val="2C5B1320"/>
    <w:rsid w:val="2C62956B"/>
    <w:rsid w:val="2C8774DC"/>
    <w:rsid w:val="2C96F7BE"/>
    <w:rsid w:val="2C9A124F"/>
    <w:rsid w:val="2CC75D84"/>
    <w:rsid w:val="2CCE85C9"/>
    <w:rsid w:val="2CD87D20"/>
    <w:rsid w:val="2CDF3671"/>
    <w:rsid w:val="2CEB910A"/>
    <w:rsid w:val="2D368463"/>
    <w:rsid w:val="2D3B9266"/>
    <w:rsid w:val="2D66F282"/>
    <w:rsid w:val="2D7D2247"/>
    <w:rsid w:val="2D8A0A9F"/>
    <w:rsid w:val="2DD2844C"/>
    <w:rsid w:val="2DDCB24B"/>
    <w:rsid w:val="2E0742F6"/>
    <w:rsid w:val="2E32C81F"/>
    <w:rsid w:val="2E3AB4B2"/>
    <w:rsid w:val="2E3CC82B"/>
    <w:rsid w:val="2E7F2DF9"/>
    <w:rsid w:val="2E865F45"/>
    <w:rsid w:val="2EA730E5"/>
    <w:rsid w:val="2F2415A4"/>
    <w:rsid w:val="2F41F4EA"/>
    <w:rsid w:val="2F46646D"/>
    <w:rsid w:val="2F589B63"/>
    <w:rsid w:val="2F8DAF72"/>
    <w:rsid w:val="2FA3A2F9"/>
    <w:rsid w:val="2FDB43EF"/>
    <w:rsid w:val="2FEC89A0"/>
    <w:rsid w:val="2FED0675"/>
    <w:rsid w:val="30075C4C"/>
    <w:rsid w:val="302D0135"/>
    <w:rsid w:val="303148EB"/>
    <w:rsid w:val="30384D15"/>
    <w:rsid w:val="3041E5AF"/>
    <w:rsid w:val="304C5C65"/>
    <w:rsid w:val="30568088"/>
    <w:rsid w:val="305ACBB5"/>
    <w:rsid w:val="306E1F7F"/>
    <w:rsid w:val="307AB979"/>
    <w:rsid w:val="308933F8"/>
    <w:rsid w:val="30AD3ED5"/>
    <w:rsid w:val="30E52488"/>
    <w:rsid w:val="30FDCA1B"/>
    <w:rsid w:val="3106D3F9"/>
    <w:rsid w:val="311B42CA"/>
    <w:rsid w:val="3131BD4A"/>
    <w:rsid w:val="313668B8"/>
    <w:rsid w:val="3136A2D1"/>
    <w:rsid w:val="313D06B8"/>
    <w:rsid w:val="313D129B"/>
    <w:rsid w:val="31672A25"/>
    <w:rsid w:val="317EEF29"/>
    <w:rsid w:val="318A9842"/>
    <w:rsid w:val="31ABC2AA"/>
    <w:rsid w:val="31BDD3C1"/>
    <w:rsid w:val="31BF2C49"/>
    <w:rsid w:val="31DF6CF2"/>
    <w:rsid w:val="31E633EC"/>
    <w:rsid w:val="3204E978"/>
    <w:rsid w:val="3228DD09"/>
    <w:rsid w:val="325881C5"/>
    <w:rsid w:val="325AF239"/>
    <w:rsid w:val="328747C7"/>
    <w:rsid w:val="32C3F64C"/>
    <w:rsid w:val="32CD0FAF"/>
    <w:rsid w:val="32EE9347"/>
    <w:rsid w:val="330FD5A6"/>
    <w:rsid w:val="33237519"/>
    <w:rsid w:val="33320FFD"/>
    <w:rsid w:val="334F35AE"/>
    <w:rsid w:val="335244E0"/>
    <w:rsid w:val="335498C5"/>
    <w:rsid w:val="3360EA48"/>
    <w:rsid w:val="336E9253"/>
    <w:rsid w:val="337AA22B"/>
    <w:rsid w:val="33A60C16"/>
    <w:rsid w:val="33F21358"/>
    <w:rsid w:val="33FD514D"/>
    <w:rsid w:val="3403D36B"/>
    <w:rsid w:val="340519BB"/>
    <w:rsid w:val="3418C05A"/>
    <w:rsid w:val="341B461D"/>
    <w:rsid w:val="341BE267"/>
    <w:rsid w:val="341BFF40"/>
    <w:rsid w:val="341C7A92"/>
    <w:rsid w:val="342D6E89"/>
    <w:rsid w:val="3434661F"/>
    <w:rsid w:val="3466BB7C"/>
    <w:rsid w:val="3471681C"/>
    <w:rsid w:val="34879813"/>
    <w:rsid w:val="3490B5A6"/>
    <w:rsid w:val="3493CE4C"/>
    <w:rsid w:val="34A09B45"/>
    <w:rsid w:val="34BE15B7"/>
    <w:rsid w:val="34C1A959"/>
    <w:rsid w:val="34C426AA"/>
    <w:rsid w:val="34CD59CC"/>
    <w:rsid w:val="34CF2EEC"/>
    <w:rsid w:val="35076A50"/>
    <w:rsid w:val="35113E10"/>
    <w:rsid w:val="355581DE"/>
    <w:rsid w:val="355B55A3"/>
    <w:rsid w:val="355B5A97"/>
    <w:rsid w:val="3571DB65"/>
    <w:rsid w:val="3584F9D0"/>
    <w:rsid w:val="35A4B84F"/>
    <w:rsid w:val="35A7A494"/>
    <w:rsid w:val="35A7E463"/>
    <w:rsid w:val="35CBAA75"/>
    <w:rsid w:val="35DFCF80"/>
    <w:rsid w:val="35FB7DB2"/>
    <w:rsid w:val="361DBF52"/>
    <w:rsid w:val="363D8706"/>
    <w:rsid w:val="364DBEAD"/>
    <w:rsid w:val="3666DF8E"/>
    <w:rsid w:val="36A2D053"/>
    <w:rsid w:val="36B52961"/>
    <w:rsid w:val="36BB6A2D"/>
    <w:rsid w:val="370853F9"/>
    <w:rsid w:val="37175748"/>
    <w:rsid w:val="371DBB42"/>
    <w:rsid w:val="3756429A"/>
    <w:rsid w:val="375AD9DD"/>
    <w:rsid w:val="376AC594"/>
    <w:rsid w:val="377FA0D3"/>
    <w:rsid w:val="37888B15"/>
    <w:rsid w:val="378D962B"/>
    <w:rsid w:val="379ADD03"/>
    <w:rsid w:val="379DE054"/>
    <w:rsid w:val="379FE95A"/>
    <w:rsid w:val="37FD8B49"/>
    <w:rsid w:val="381F0ADE"/>
    <w:rsid w:val="381F30CB"/>
    <w:rsid w:val="38667E71"/>
    <w:rsid w:val="386C0DB8"/>
    <w:rsid w:val="387F0F83"/>
    <w:rsid w:val="388B92A4"/>
    <w:rsid w:val="388CFE7C"/>
    <w:rsid w:val="389A5BED"/>
    <w:rsid w:val="38BC0535"/>
    <w:rsid w:val="38DB0EC2"/>
    <w:rsid w:val="38E0C089"/>
    <w:rsid w:val="38EA240E"/>
    <w:rsid w:val="38FEA1D6"/>
    <w:rsid w:val="3942B94E"/>
    <w:rsid w:val="396E7CC2"/>
    <w:rsid w:val="398C17DA"/>
    <w:rsid w:val="39B17B73"/>
    <w:rsid w:val="39B23960"/>
    <w:rsid w:val="39CFD998"/>
    <w:rsid w:val="39F1DA38"/>
    <w:rsid w:val="39F34F55"/>
    <w:rsid w:val="3A24F4DA"/>
    <w:rsid w:val="3A6BF516"/>
    <w:rsid w:val="3A7996B9"/>
    <w:rsid w:val="3A7BCC60"/>
    <w:rsid w:val="3A89DF6C"/>
    <w:rsid w:val="3AA4741D"/>
    <w:rsid w:val="3ABC6793"/>
    <w:rsid w:val="3ABF61E7"/>
    <w:rsid w:val="3AD5587E"/>
    <w:rsid w:val="3ADF1513"/>
    <w:rsid w:val="3ADFDE61"/>
    <w:rsid w:val="3B468A6D"/>
    <w:rsid w:val="3B4EE751"/>
    <w:rsid w:val="3B57CFE8"/>
    <w:rsid w:val="3B5FCFED"/>
    <w:rsid w:val="3B602F8E"/>
    <w:rsid w:val="3B676C47"/>
    <w:rsid w:val="3B747CE9"/>
    <w:rsid w:val="3B81E36B"/>
    <w:rsid w:val="3B90D600"/>
    <w:rsid w:val="3B9196A8"/>
    <w:rsid w:val="3B93583B"/>
    <w:rsid w:val="3B985CBC"/>
    <w:rsid w:val="3BD8637D"/>
    <w:rsid w:val="3BEA06BB"/>
    <w:rsid w:val="3C0294FC"/>
    <w:rsid w:val="3C033DD4"/>
    <w:rsid w:val="3C1D50F0"/>
    <w:rsid w:val="3C3135D0"/>
    <w:rsid w:val="3C368250"/>
    <w:rsid w:val="3C370AE8"/>
    <w:rsid w:val="3C3B64DE"/>
    <w:rsid w:val="3C5A5E09"/>
    <w:rsid w:val="3C6DD978"/>
    <w:rsid w:val="3C8B47A0"/>
    <w:rsid w:val="3C97B63C"/>
    <w:rsid w:val="3CB4B2AC"/>
    <w:rsid w:val="3CCC819B"/>
    <w:rsid w:val="3D02B40A"/>
    <w:rsid w:val="3D03A3C6"/>
    <w:rsid w:val="3D1B9D33"/>
    <w:rsid w:val="3D3A22FC"/>
    <w:rsid w:val="3D4AAB38"/>
    <w:rsid w:val="3DD88925"/>
    <w:rsid w:val="3DE2A18D"/>
    <w:rsid w:val="3DEF0E36"/>
    <w:rsid w:val="3DEF5208"/>
    <w:rsid w:val="3E002DF1"/>
    <w:rsid w:val="3E4544D6"/>
    <w:rsid w:val="3E534B16"/>
    <w:rsid w:val="3E5816F4"/>
    <w:rsid w:val="3E6C5023"/>
    <w:rsid w:val="3EA53C93"/>
    <w:rsid w:val="3EA75DF7"/>
    <w:rsid w:val="3EBCFA1C"/>
    <w:rsid w:val="3EEA66FC"/>
    <w:rsid w:val="3F18BA9A"/>
    <w:rsid w:val="3F286A80"/>
    <w:rsid w:val="3F3EADB6"/>
    <w:rsid w:val="3F65862D"/>
    <w:rsid w:val="3F72A8CB"/>
    <w:rsid w:val="3F8E6E77"/>
    <w:rsid w:val="3FA40CEB"/>
    <w:rsid w:val="3FD1A244"/>
    <w:rsid w:val="3FD32B11"/>
    <w:rsid w:val="3FDAF71C"/>
    <w:rsid w:val="3FE22A56"/>
    <w:rsid w:val="3FF4CF2B"/>
    <w:rsid w:val="4003CA66"/>
    <w:rsid w:val="4015C0B4"/>
    <w:rsid w:val="408F49C3"/>
    <w:rsid w:val="40A41EB7"/>
    <w:rsid w:val="40BCA1C9"/>
    <w:rsid w:val="40E17F7A"/>
    <w:rsid w:val="40F18EA1"/>
    <w:rsid w:val="4103B4D5"/>
    <w:rsid w:val="413B0BC4"/>
    <w:rsid w:val="413F7A3D"/>
    <w:rsid w:val="41560F0A"/>
    <w:rsid w:val="4179AC9F"/>
    <w:rsid w:val="41B03526"/>
    <w:rsid w:val="41BFAFE3"/>
    <w:rsid w:val="41F1A094"/>
    <w:rsid w:val="41FFAD23"/>
    <w:rsid w:val="420584AD"/>
    <w:rsid w:val="4207C742"/>
    <w:rsid w:val="424EF30F"/>
    <w:rsid w:val="425125A5"/>
    <w:rsid w:val="4290CAD7"/>
    <w:rsid w:val="429C6F3A"/>
    <w:rsid w:val="429CACA3"/>
    <w:rsid w:val="42AD90F3"/>
    <w:rsid w:val="42B763C1"/>
    <w:rsid w:val="42BE8F6F"/>
    <w:rsid w:val="42CBDE1A"/>
    <w:rsid w:val="42D07939"/>
    <w:rsid w:val="42EF486B"/>
    <w:rsid w:val="42F29296"/>
    <w:rsid w:val="4315D763"/>
    <w:rsid w:val="4354B058"/>
    <w:rsid w:val="43695B43"/>
    <w:rsid w:val="437F4945"/>
    <w:rsid w:val="4388E26D"/>
    <w:rsid w:val="43B7DBDA"/>
    <w:rsid w:val="43C2FA22"/>
    <w:rsid w:val="43C38833"/>
    <w:rsid w:val="43FFDAAC"/>
    <w:rsid w:val="44430DBC"/>
    <w:rsid w:val="447C3AC4"/>
    <w:rsid w:val="44BD5372"/>
    <w:rsid w:val="44C33489"/>
    <w:rsid w:val="4519E19A"/>
    <w:rsid w:val="452056BB"/>
    <w:rsid w:val="45352441"/>
    <w:rsid w:val="453FF6FF"/>
    <w:rsid w:val="4559F5CC"/>
    <w:rsid w:val="455FD318"/>
    <w:rsid w:val="459DE889"/>
    <w:rsid w:val="459E13BC"/>
    <w:rsid w:val="459FC6C6"/>
    <w:rsid w:val="45C4709F"/>
    <w:rsid w:val="45C67F68"/>
    <w:rsid w:val="45C6D514"/>
    <w:rsid w:val="45CB6323"/>
    <w:rsid w:val="45D8508B"/>
    <w:rsid w:val="45DB48C2"/>
    <w:rsid w:val="45DD0300"/>
    <w:rsid w:val="45E156A7"/>
    <w:rsid w:val="45E69009"/>
    <w:rsid w:val="45F654DE"/>
    <w:rsid w:val="45F82DD4"/>
    <w:rsid w:val="46184835"/>
    <w:rsid w:val="4620CC91"/>
    <w:rsid w:val="462A28A6"/>
    <w:rsid w:val="4649A4D5"/>
    <w:rsid w:val="466460A3"/>
    <w:rsid w:val="468EC3FD"/>
    <w:rsid w:val="469A1172"/>
    <w:rsid w:val="469ED8FA"/>
    <w:rsid w:val="46F9F93C"/>
    <w:rsid w:val="471BA077"/>
    <w:rsid w:val="47221852"/>
    <w:rsid w:val="4771B1B6"/>
    <w:rsid w:val="478ABB95"/>
    <w:rsid w:val="478FE1FD"/>
    <w:rsid w:val="47B3DB86"/>
    <w:rsid w:val="47C54FC7"/>
    <w:rsid w:val="47D1E842"/>
    <w:rsid w:val="47D62C7C"/>
    <w:rsid w:val="47EC408E"/>
    <w:rsid w:val="47F05501"/>
    <w:rsid w:val="48073A02"/>
    <w:rsid w:val="4818B94A"/>
    <w:rsid w:val="486C5E41"/>
    <w:rsid w:val="48CDE8C1"/>
    <w:rsid w:val="491FD0B5"/>
    <w:rsid w:val="4951362B"/>
    <w:rsid w:val="495E56AF"/>
    <w:rsid w:val="4962B765"/>
    <w:rsid w:val="496FCF48"/>
    <w:rsid w:val="4979191B"/>
    <w:rsid w:val="497BE8C2"/>
    <w:rsid w:val="49835AAB"/>
    <w:rsid w:val="498B2943"/>
    <w:rsid w:val="49AB04A3"/>
    <w:rsid w:val="49AD58F2"/>
    <w:rsid w:val="49C6A782"/>
    <w:rsid w:val="49E54035"/>
    <w:rsid w:val="49FAEAB1"/>
    <w:rsid w:val="4A02B614"/>
    <w:rsid w:val="4A05A3CF"/>
    <w:rsid w:val="4A49C242"/>
    <w:rsid w:val="4A628DF4"/>
    <w:rsid w:val="4A63E5E3"/>
    <w:rsid w:val="4A64BF3A"/>
    <w:rsid w:val="4A7C83BE"/>
    <w:rsid w:val="4A9EFE0F"/>
    <w:rsid w:val="4ACE1CF3"/>
    <w:rsid w:val="4ACE2BFB"/>
    <w:rsid w:val="4ACFE341"/>
    <w:rsid w:val="4B067318"/>
    <w:rsid w:val="4B0F90C7"/>
    <w:rsid w:val="4B15DDB8"/>
    <w:rsid w:val="4B492953"/>
    <w:rsid w:val="4B528ACD"/>
    <w:rsid w:val="4B558025"/>
    <w:rsid w:val="4B665C90"/>
    <w:rsid w:val="4B732476"/>
    <w:rsid w:val="4B788FEF"/>
    <w:rsid w:val="4B9FAB16"/>
    <w:rsid w:val="4BA76665"/>
    <w:rsid w:val="4BDFB912"/>
    <w:rsid w:val="4BE1BA81"/>
    <w:rsid w:val="4BFD359C"/>
    <w:rsid w:val="4C3FC1FB"/>
    <w:rsid w:val="4C53F9F7"/>
    <w:rsid w:val="4C6E2DEE"/>
    <w:rsid w:val="4C81C742"/>
    <w:rsid w:val="4CC97DE2"/>
    <w:rsid w:val="4CC9E55F"/>
    <w:rsid w:val="4CCC1D90"/>
    <w:rsid w:val="4D111FDF"/>
    <w:rsid w:val="4D231489"/>
    <w:rsid w:val="4D27BED3"/>
    <w:rsid w:val="4D4294B6"/>
    <w:rsid w:val="4D48F58C"/>
    <w:rsid w:val="4D4A2748"/>
    <w:rsid w:val="4D5046C6"/>
    <w:rsid w:val="4D5E76C7"/>
    <w:rsid w:val="4DB144E1"/>
    <w:rsid w:val="4DEFC8EC"/>
    <w:rsid w:val="4E0A5646"/>
    <w:rsid w:val="4E0D2673"/>
    <w:rsid w:val="4E6596B7"/>
    <w:rsid w:val="4E781F17"/>
    <w:rsid w:val="4E8624E8"/>
    <w:rsid w:val="4E957F28"/>
    <w:rsid w:val="4EBFDFE5"/>
    <w:rsid w:val="4ECD5A40"/>
    <w:rsid w:val="4F171B75"/>
    <w:rsid w:val="4F235D3B"/>
    <w:rsid w:val="4F27508C"/>
    <w:rsid w:val="4F4C7E16"/>
    <w:rsid w:val="4F5BAEB3"/>
    <w:rsid w:val="4F71ABD9"/>
    <w:rsid w:val="4FE59C38"/>
    <w:rsid w:val="4FEEB049"/>
    <w:rsid w:val="5008D078"/>
    <w:rsid w:val="505262F5"/>
    <w:rsid w:val="505B3F02"/>
    <w:rsid w:val="50777026"/>
    <w:rsid w:val="5077809D"/>
    <w:rsid w:val="5089EB2B"/>
    <w:rsid w:val="50AF88D7"/>
    <w:rsid w:val="50CF751D"/>
    <w:rsid w:val="50D7380F"/>
    <w:rsid w:val="50D87540"/>
    <w:rsid w:val="50E3D649"/>
    <w:rsid w:val="50E4D99C"/>
    <w:rsid w:val="51419F11"/>
    <w:rsid w:val="516BC393"/>
    <w:rsid w:val="516BD10C"/>
    <w:rsid w:val="51782D87"/>
    <w:rsid w:val="521084D4"/>
    <w:rsid w:val="521907E1"/>
    <w:rsid w:val="525870C2"/>
    <w:rsid w:val="528EAFA6"/>
    <w:rsid w:val="529115C5"/>
    <w:rsid w:val="52A0408E"/>
    <w:rsid w:val="52A94283"/>
    <w:rsid w:val="52DAE462"/>
    <w:rsid w:val="52FC6A92"/>
    <w:rsid w:val="5328DD23"/>
    <w:rsid w:val="532D22C5"/>
    <w:rsid w:val="5344AA39"/>
    <w:rsid w:val="534C9628"/>
    <w:rsid w:val="536B255C"/>
    <w:rsid w:val="53AAC763"/>
    <w:rsid w:val="53B7E458"/>
    <w:rsid w:val="53CAA6A0"/>
    <w:rsid w:val="53F9CB84"/>
    <w:rsid w:val="5404E406"/>
    <w:rsid w:val="540B3D76"/>
    <w:rsid w:val="540E64A4"/>
    <w:rsid w:val="5446C9E8"/>
    <w:rsid w:val="54581CAF"/>
    <w:rsid w:val="5463001E"/>
    <w:rsid w:val="546BF5D7"/>
    <w:rsid w:val="54E7B501"/>
    <w:rsid w:val="551BC809"/>
    <w:rsid w:val="5527388E"/>
    <w:rsid w:val="554100C7"/>
    <w:rsid w:val="55467284"/>
    <w:rsid w:val="557A426E"/>
    <w:rsid w:val="559A3619"/>
    <w:rsid w:val="55BA06EE"/>
    <w:rsid w:val="55BB26BA"/>
    <w:rsid w:val="55CA8B00"/>
    <w:rsid w:val="55D76942"/>
    <w:rsid w:val="55FCE144"/>
    <w:rsid w:val="560B5091"/>
    <w:rsid w:val="56176BFC"/>
    <w:rsid w:val="56345C9C"/>
    <w:rsid w:val="564DE9A0"/>
    <w:rsid w:val="567783EA"/>
    <w:rsid w:val="567A77E3"/>
    <w:rsid w:val="568662C2"/>
    <w:rsid w:val="56C58611"/>
    <w:rsid w:val="56C7D1E2"/>
    <w:rsid w:val="56D47F97"/>
    <w:rsid w:val="56D8D8F3"/>
    <w:rsid w:val="56F2080E"/>
    <w:rsid w:val="57042637"/>
    <w:rsid w:val="57300182"/>
    <w:rsid w:val="57317549"/>
    <w:rsid w:val="574F272F"/>
    <w:rsid w:val="578FDBA9"/>
    <w:rsid w:val="579D3735"/>
    <w:rsid w:val="57C15481"/>
    <w:rsid w:val="57C972A4"/>
    <w:rsid w:val="57F3DCBF"/>
    <w:rsid w:val="57FC4E46"/>
    <w:rsid w:val="580FF13C"/>
    <w:rsid w:val="5822C856"/>
    <w:rsid w:val="582B8D6D"/>
    <w:rsid w:val="582C09D3"/>
    <w:rsid w:val="58323CC5"/>
    <w:rsid w:val="585DD08E"/>
    <w:rsid w:val="5896213D"/>
    <w:rsid w:val="589A75F0"/>
    <w:rsid w:val="589F0732"/>
    <w:rsid w:val="58CFA481"/>
    <w:rsid w:val="58D04390"/>
    <w:rsid w:val="58DDA1EB"/>
    <w:rsid w:val="58EB9123"/>
    <w:rsid w:val="58F08A47"/>
    <w:rsid w:val="591F56F4"/>
    <w:rsid w:val="5928CEEF"/>
    <w:rsid w:val="59300BA2"/>
    <w:rsid w:val="594F98EF"/>
    <w:rsid w:val="5960C445"/>
    <w:rsid w:val="59653BE5"/>
    <w:rsid w:val="598EE741"/>
    <w:rsid w:val="59B6533A"/>
    <w:rsid w:val="59CF3F68"/>
    <w:rsid w:val="59E2E694"/>
    <w:rsid w:val="59F61C78"/>
    <w:rsid w:val="5A24B234"/>
    <w:rsid w:val="5A888FEE"/>
    <w:rsid w:val="5AA4C7E6"/>
    <w:rsid w:val="5AAACDCD"/>
    <w:rsid w:val="5ABF8EAC"/>
    <w:rsid w:val="5ACC5A05"/>
    <w:rsid w:val="5AD317FF"/>
    <w:rsid w:val="5AE2805A"/>
    <w:rsid w:val="5AF91BB6"/>
    <w:rsid w:val="5B183374"/>
    <w:rsid w:val="5B1AC6AB"/>
    <w:rsid w:val="5B336192"/>
    <w:rsid w:val="5B33EF08"/>
    <w:rsid w:val="5B3691A9"/>
    <w:rsid w:val="5B56FB12"/>
    <w:rsid w:val="5B7CED67"/>
    <w:rsid w:val="5BA8E7F6"/>
    <w:rsid w:val="5BD5AE1A"/>
    <w:rsid w:val="5C0211DF"/>
    <w:rsid w:val="5C48F228"/>
    <w:rsid w:val="5C4E6539"/>
    <w:rsid w:val="5C4F8CD1"/>
    <w:rsid w:val="5C5FA759"/>
    <w:rsid w:val="5C6B2B8F"/>
    <w:rsid w:val="5C865DD7"/>
    <w:rsid w:val="5CE38D93"/>
    <w:rsid w:val="5D0EDCA7"/>
    <w:rsid w:val="5D106B9B"/>
    <w:rsid w:val="5D25F982"/>
    <w:rsid w:val="5D6D8DCD"/>
    <w:rsid w:val="5D737880"/>
    <w:rsid w:val="5D97628F"/>
    <w:rsid w:val="5D9D7C9E"/>
    <w:rsid w:val="5DAC5A90"/>
    <w:rsid w:val="5DB6AF93"/>
    <w:rsid w:val="5DC38DBD"/>
    <w:rsid w:val="5DC54138"/>
    <w:rsid w:val="5DE00325"/>
    <w:rsid w:val="5DE14D9F"/>
    <w:rsid w:val="5DE7C875"/>
    <w:rsid w:val="5DEBD07A"/>
    <w:rsid w:val="5DECF4B9"/>
    <w:rsid w:val="5E1606D2"/>
    <w:rsid w:val="5E1D0605"/>
    <w:rsid w:val="5E24A04E"/>
    <w:rsid w:val="5E32282F"/>
    <w:rsid w:val="5E51A88A"/>
    <w:rsid w:val="5E7610CF"/>
    <w:rsid w:val="5E767B49"/>
    <w:rsid w:val="5E846B19"/>
    <w:rsid w:val="5E8832B7"/>
    <w:rsid w:val="5EB3DBFD"/>
    <w:rsid w:val="5ED5BCB3"/>
    <w:rsid w:val="5EEDCB46"/>
    <w:rsid w:val="5F21BCE4"/>
    <w:rsid w:val="5F36CBEA"/>
    <w:rsid w:val="5F4A3C68"/>
    <w:rsid w:val="5F4AA703"/>
    <w:rsid w:val="5F91E73D"/>
    <w:rsid w:val="5FC9A5F5"/>
    <w:rsid w:val="5FE0911F"/>
    <w:rsid w:val="5FEBF492"/>
    <w:rsid w:val="5FF57DA5"/>
    <w:rsid w:val="6006DDB6"/>
    <w:rsid w:val="6009397E"/>
    <w:rsid w:val="60304568"/>
    <w:rsid w:val="6052BB6F"/>
    <w:rsid w:val="605D42EA"/>
    <w:rsid w:val="60867691"/>
    <w:rsid w:val="608ADF98"/>
    <w:rsid w:val="60914D32"/>
    <w:rsid w:val="60F22A91"/>
    <w:rsid w:val="6100BE25"/>
    <w:rsid w:val="611C12DC"/>
    <w:rsid w:val="611F08BD"/>
    <w:rsid w:val="61327C79"/>
    <w:rsid w:val="6134784C"/>
    <w:rsid w:val="61663143"/>
    <w:rsid w:val="617776FD"/>
    <w:rsid w:val="61851854"/>
    <w:rsid w:val="61AD8DE2"/>
    <w:rsid w:val="61C0297F"/>
    <w:rsid w:val="61E21347"/>
    <w:rsid w:val="61EB30DB"/>
    <w:rsid w:val="6222B284"/>
    <w:rsid w:val="6239F4F1"/>
    <w:rsid w:val="625A2611"/>
    <w:rsid w:val="625CC374"/>
    <w:rsid w:val="6263EFDD"/>
    <w:rsid w:val="6268998D"/>
    <w:rsid w:val="62821283"/>
    <w:rsid w:val="628C813A"/>
    <w:rsid w:val="6297D2C5"/>
    <w:rsid w:val="62CFBCB5"/>
    <w:rsid w:val="631344B1"/>
    <w:rsid w:val="631C6EF1"/>
    <w:rsid w:val="63287099"/>
    <w:rsid w:val="6331ED01"/>
    <w:rsid w:val="63517D9F"/>
    <w:rsid w:val="636047AB"/>
    <w:rsid w:val="636BA120"/>
    <w:rsid w:val="636FE722"/>
    <w:rsid w:val="6388211A"/>
    <w:rsid w:val="638A5C31"/>
    <w:rsid w:val="639AD17E"/>
    <w:rsid w:val="63A717ED"/>
    <w:rsid w:val="63B3F9DB"/>
    <w:rsid w:val="63B6A669"/>
    <w:rsid w:val="63EE6F01"/>
    <w:rsid w:val="640C8C4C"/>
    <w:rsid w:val="64733C7F"/>
    <w:rsid w:val="649DFAAE"/>
    <w:rsid w:val="64A54754"/>
    <w:rsid w:val="64B40242"/>
    <w:rsid w:val="64C215EB"/>
    <w:rsid w:val="64DAD14E"/>
    <w:rsid w:val="650677D9"/>
    <w:rsid w:val="65206BB1"/>
    <w:rsid w:val="652D7756"/>
    <w:rsid w:val="65CDDCE3"/>
    <w:rsid w:val="65EFF002"/>
    <w:rsid w:val="65F714D7"/>
    <w:rsid w:val="65FBAFA2"/>
    <w:rsid w:val="65FE0193"/>
    <w:rsid w:val="6606BADE"/>
    <w:rsid w:val="6617F6EE"/>
    <w:rsid w:val="6623317D"/>
    <w:rsid w:val="6623D480"/>
    <w:rsid w:val="66285DE8"/>
    <w:rsid w:val="6639EBDD"/>
    <w:rsid w:val="66445C5B"/>
    <w:rsid w:val="664796FD"/>
    <w:rsid w:val="664AAC00"/>
    <w:rsid w:val="665B91A2"/>
    <w:rsid w:val="666343BD"/>
    <w:rsid w:val="66A63BF6"/>
    <w:rsid w:val="66ABF24C"/>
    <w:rsid w:val="66B22384"/>
    <w:rsid w:val="6706595C"/>
    <w:rsid w:val="671F8E69"/>
    <w:rsid w:val="67513C45"/>
    <w:rsid w:val="678F3510"/>
    <w:rsid w:val="6791DA30"/>
    <w:rsid w:val="6797D9B6"/>
    <w:rsid w:val="679953D8"/>
    <w:rsid w:val="67BB3302"/>
    <w:rsid w:val="6816DD31"/>
    <w:rsid w:val="6820F94A"/>
    <w:rsid w:val="683AAFE0"/>
    <w:rsid w:val="683BBCEF"/>
    <w:rsid w:val="685927DB"/>
    <w:rsid w:val="686E42A1"/>
    <w:rsid w:val="687CA3F6"/>
    <w:rsid w:val="68892E3C"/>
    <w:rsid w:val="689371B6"/>
    <w:rsid w:val="68B152DA"/>
    <w:rsid w:val="690AB8AE"/>
    <w:rsid w:val="69119186"/>
    <w:rsid w:val="69340D29"/>
    <w:rsid w:val="693DE2B6"/>
    <w:rsid w:val="6955A4E7"/>
    <w:rsid w:val="69788A6C"/>
    <w:rsid w:val="697B019B"/>
    <w:rsid w:val="69C05D8A"/>
    <w:rsid w:val="69DD1B5E"/>
    <w:rsid w:val="6A17EFAC"/>
    <w:rsid w:val="6A1A3F55"/>
    <w:rsid w:val="6A4A01C5"/>
    <w:rsid w:val="6A56D6BE"/>
    <w:rsid w:val="6A7C6548"/>
    <w:rsid w:val="6A841BC3"/>
    <w:rsid w:val="6A9F4D48"/>
    <w:rsid w:val="6AA6C468"/>
    <w:rsid w:val="6AAE2EF5"/>
    <w:rsid w:val="6AB6EBAB"/>
    <w:rsid w:val="6AB8A982"/>
    <w:rsid w:val="6AD07C49"/>
    <w:rsid w:val="6B071D19"/>
    <w:rsid w:val="6B235267"/>
    <w:rsid w:val="6B391224"/>
    <w:rsid w:val="6B8DB781"/>
    <w:rsid w:val="6BA71484"/>
    <w:rsid w:val="6BFCFB92"/>
    <w:rsid w:val="6C0098A6"/>
    <w:rsid w:val="6C040983"/>
    <w:rsid w:val="6C0E6106"/>
    <w:rsid w:val="6C3D13CF"/>
    <w:rsid w:val="6C5D6A01"/>
    <w:rsid w:val="6C629016"/>
    <w:rsid w:val="6C6B848E"/>
    <w:rsid w:val="6C7C8A08"/>
    <w:rsid w:val="6C7F1E67"/>
    <w:rsid w:val="6CB17133"/>
    <w:rsid w:val="6CB960F3"/>
    <w:rsid w:val="6CC3D525"/>
    <w:rsid w:val="6CC77304"/>
    <w:rsid w:val="6CD681F7"/>
    <w:rsid w:val="6CE9B6DC"/>
    <w:rsid w:val="6D22D6F8"/>
    <w:rsid w:val="6D29AB32"/>
    <w:rsid w:val="6D32AA77"/>
    <w:rsid w:val="6D33A58A"/>
    <w:rsid w:val="6D57B629"/>
    <w:rsid w:val="6D7247A8"/>
    <w:rsid w:val="6D8024CC"/>
    <w:rsid w:val="6D926F36"/>
    <w:rsid w:val="6DB19BD7"/>
    <w:rsid w:val="6DB373F5"/>
    <w:rsid w:val="6E24B6B5"/>
    <w:rsid w:val="6E24FB8E"/>
    <w:rsid w:val="6E524E00"/>
    <w:rsid w:val="6E7DDFFC"/>
    <w:rsid w:val="6E8560F5"/>
    <w:rsid w:val="6E92F5D9"/>
    <w:rsid w:val="6E9C8528"/>
    <w:rsid w:val="6EA1CEDD"/>
    <w:rsid w:val="6EC5A6C4"/>
    <w:rsid w:val="6EFDF0F4"/>
    <w:rsid w:val="6F49FF82"/>
    <w:rsid w:val="6F813E7A"/>
    <w:rsid w:val="6F83677B"/>
    <w:rsid w:val="6F940FC1"/>
    <w:rsid w:val="6F96BD45"/>
    <w:rsid w:val="6FAD9CC5"/>
    <w:rsid w:val="6FBE6D44"/>
    <w:rsid w:val="6FC3C634"/>
    <w:rsid w:val="6FD24C71"/>
    <w:rsid w:val="6FE089B1"/>
    <w:rsid w:val="6FE4E64A"/>
    <w:rsid w:val="7028DD6A"/>
    <w:rsid w:val="702B5BDA"/>
    <w:rsid w:val="70308A13"/>
    <w:rsid w:val="705779DA"/>
    <w:rsid w:val="70655B8F"/>
    <w:rsid w:val="706E815D"/>
    <w:rsid w:val="70DF0CC9"/>
    <w:rsid w:val="70EBB37C"/>
    <w:rsid w:val="71673FD9"/>
    <w:rsid w:val="717D41D5"/>
    <w:rsid w:val="717EBABD"/>
    <w:rsid w:val="718A8FD5"/>
    <w:rsid w:val="719ED59E"/>
    <w:rsid w:val="71A16EAD"/>
    <w:rsid w:val="71A65B6A"/>
    <w:rsid w:val="71B1172C"/>
    <w:rsid w:val="71CBB033"/>
    <w:rsid w:val="71E61147"/>
    <w:rsid w:val="71F427B7"/>
    <w:rsid w:val="71FC3BD0"/>
    <w:rsid w:val="72092C7C"/>
    <w:rsid w:val="7214B020"/>
    <w:rsid w:val="72194053"/>
    <w:rsid w:val="72220BD1"/>
    <w:rsid w:val="722DA5AC"/>
    <w:rsid w:val="725BE509"/>
    <w:rsid w:val="72886729"/>
    <w:rsid w:val="729EC4F0"/>
    <w:rsid w:val="72A7FF35"/>
    <w:rsid w:val="73129470"/>
    <w:rsid w:val="73188516"/>
    <w:rsid w:val="7319F756"/>
    <w:rsid w:val="73361963"/>
    <w:rsid w:val="7356FC75"/>
    <w:rsid w:val="73E19858"/>
    <w:rsid w:val="740B1F00"/>
    <w:rsid w:val="74126AA3"/>
    <w:rsid w:val="7412715E"/>
    <w:rsid w:val="74138D12"/>
    <w:rsid w:val="74179DD9"/>
    <w:rsid w:val="74397A93"/>
    <w:rsid w:val="743D8448"/>
    <w:rsid w:val="74499D80"/>
    <w:rsid w:val="74980CCE"/>
    <w:rsid w:val="74BA116B"/>
    <w:rsid w:val="74EF0432"/>
    <w:rsid w:val="753302B2"/>
    <w:rsid w:val="7561935E"/>
    <w:rsid w:val="756856E5"/>
    <w:rsid w:val="756C4CD8"/>
    <w:rsid w:val="75823178"/>
    <w:rsid w:val="75A1679E"/>
    <w:rsid w:val="75C9FFB1"/>
    <w:rsid w:val="75DF07C4"/>
    <w:rsid w:val="75EFAF8E"/>
    <w:rsid w:val="760BD739"/>
    <w:rsid w:val="76416001"/>
    <w:rsid w:val="76435C8F"/>
    <w:rsid w:val="76499735"/>
    <w:rsid w:val="76BF34D3"/>
    <w:rsid w:val="76D6FA29"/>
    <w:rsid w:val="76D838ED"/>
    <w:rsid w:val="76E2AB65"/>
    <w:rsid w:val="76F0C78A"/>
    <w:rsid w:val="771ABA6E"/>
    <w:rsid w:val="77240E0D"/>
    <w:rsid w:val="774CC564"/>
    <w:rsid w:val="775DB813"/>
    <w:rsid w:val="77694B66"/>
    <w:rsid w:val="778AB509"/>
    <w:rsid w:val="77913E5D"/>
    <w:rsid w:val="77ABFC6E"/>
    <w:rsid w:val="77E90E37"/>
    <w:rsid w:val="78013296"/>
    <w:rsid w:val="78199B15"/>
    <w:rsid w:val="782931AD"/>
    <w:rsid w:val="7832C916"/>
    <w:rsid w:val="7854991A"/>
    <w:rsid w:val="785B2302"/>
    <w:rsid w:val="78738C1E"/>
    <w:rsid w:val="788FE37D"/>
    <w:rsid w:val="78A12B13"/>
    <w:rsid w:val="78BB5178"/>
    <w:rsid w:val="78E62202"/>
    <w:rsid w:val="790705B1"/>
    <w:rsid w:val="79094A7F"/>
    <w:rsid w:val="79196E0D"/>
    <w:rsid w:val="7930DC03"/>
    <w:rsid w:val="794761B8"/>
    <w:rsid w:val="796A1B24"/>
    <w:rsid w:val="796F7905"/>
    <w:rsid w:val="79AA1741"/>
    <w:rsid w:val="79ACAEC4"/>
    <w:rsid w:val="79B9F298"/>
    <w:rsid w:val="79C2502F"/>
    <w:rsid w:val="7A5B7704"/>
    <w:rsid w:val="7A70CA9A"/>
    <w:rsid w:val="7A81BB49"/>
    <w:rsid w:val="7A87B7DA"/>
    <w:rsid w:val="7A90F2A3"/>
    <w:rsid w:val="7A99BB63"/>
    <w:rsid w:val="7AC95D71"/>
    <w:rsid w:val="7AE14989"/>
    <w:rsid w:val="7AE6A8BC"/>
    <w:rsid w:val="7AEF89CB"/>
    <w:rsid w:val="7B32A94D"/>
    <w:rsid w:val="7B474BA8"/>
    <w:rsid w:val="7B65D0DA"/>
    <w:rsid w:val="7B66006B"/>
    <w:rsid w:val="7B6A4F6F"/>
    <w:rsid w:val="7B8926CA"/>
    <w:rsid w:val="7B9A6D9B"/>
    <w:rsid w:val="7B9E4E75"/>
    <w:rsid w:val="7BA5208A"/>
    <w:rsid w:val="7BC3313E"/>
    <w:rsid w:val="7BCC1AE3"/>
    <w:rsid w:val="7BEF468D"/>
    <w:rsid w:val="7BEF9069"/>
    <w:rsid w:val="7BF1263C"/>
    <w:rsid w:val="7BFE2AD4"/>
    <w:rsid w:val="7C06ACCA"/>
    <w:rsid w:val="7C261455"/>
    <w:rsid w:val="7C5D65C5"/>
    <w:rsid w:val="7C6AD90F"/>
    <w:rsid w:val="7C738F47"/>
    <w:rsid w:val="7C8AE383"/>
    <w:rsid w:val="7C98E0E4"/>
    <w:rsid w:val="7CA6D9A9"/>
    <w:rsid w:val="7D2A0B36"/>
    <w:rsid w:val="7D34682E"/>
    <w:rsid w:val="7D6FA5A0"/>
    <w:rsid w:val="7D7C8514"/>
    <w:rsid w:val="7D88AD08"/>
    <w:rsid w:val="7D9A4AC6"/>
    <w:rsid w:val="7DB88D4C"/>
    <w:rsid w:val="7DDB3F85"/>
    <w:rsid w:val="7DF7E851"/>
    <w:rsid w:val="7DFEE71B"/>
    <w:rsid w:val="7EA6D983"/>
    <w:rsid w:val="7EA88ADD"/>
    <w:rsid w:val="7EC6458F"/>
    <w:rsid w:val="7EF3AEC3"/>
    <w:rsid w:val="7EFBFCE7"/>
    <w:rsid w:val="7F50100E"/>
    <w:rsid w:val="7F879A13"/>
    <w:rsid w:val="7F94D4FE"/>
    <w:rsid w:val="7FAFE952"/>
    <w:rsid w:val="7FCD2EA1"/>
    <w:rsid w:val="7FDEB7D4"/>
    <w:rsid w:val="7FE76AE2"/>
    <w:rsid w:val="7FF175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B553B"/>
  <w15:chartTrackingRefBased/>
  <w15:docId w15:val="{853FEFB0-4336-4BA0-AF19-F31DBB1D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538"/>
  </w:style>
  <w:style w:type="paragraph" w:styleId="Heading1">
    <w:name w:val="heading 1"/>
    <w:basedOn w:val="Normal"/>
    <w:next w:val="Normal"/>
    <w:link w:val="Heading1Char"/>
    <w:uiPriority w:val="9"/>
    <w:qFormat/>
    <w:rsid w:val="00DE7A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7A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7A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E7A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C5"/>
    <w:rPr>
      <w:rFonts w:ascii="Segoe UI" w:hAnsi="Segoe UI" w:cs="Segoe UI"/>
      <w:sz w:val="18"/>
      <w:szCs w:val="18"/>
    </w:rPr>
  </w:style>
  <w:style w:type="paragraph" w:styleId="ListParagraph">
    <w:name w:val="List Paragraph"/>
    <w:basedOn w:val="Normal"/>
    <w:uiPriority w:val="34"/>
    <w:qFormat/>
    <w:rsid w:val="00D011A8"/>
    <w:pPr>
      <w:ind w:left="720"/>
      <w:contextualSpacing/>
    </w:pPr>
  </w:style>
  <w:style w:type="character" w:customStyle="1" w:styleId="Heading1Char">
    <w:name w:val="Heading 1 Char"/>
    <w:basedOn w:val="DefaultParagraphFont"/>
    <w:link w:val="Heading1"/>
    <w:uiPriority w:val="9"/>
    <w:rsid w:val="00DE7AD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7A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E7AD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E7AD2"/>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E15CF5"/>
    <w:rPr>
      <w:sz w:val="16"/>
      <w:szCs w:val="16"/>
    </w:rPr>
  </w:style>
  <w:style w:type="paragraph" w:styleId="CommentText">
    <w:name w:val="annotation text"/>
    <w:basedOn w:val="Normal"/>
    <w:link w:val="CommentTextChar"/>
    <w:uiPriority w:val="99"/>
    <w:unhideWhenUsed/>
    <w:rsid w:val="00E15CF5"/>
    <w:pPr>
      <w:spacing w:line="240" w:lineRule="auto"/>
    </w:pPr>
    <w:rPr>
      <w:sz w:val="20"/>
      <w:szCs w:val="20"/>
    </w:rPr>
  </w:style>
  <w:style w:type="character" w:customStyle="1" w:styleId="CommentTextChar">
    <w:name w:val="Comment Text Char"/>
    <w:basedOn w:val="DefaultParagraphFont"/>
    <w:link w:val="CommentText"/>
    <w:uiPriority w:val="99"/>
    <w:rsid w:val="00E15CF5"/>
    <w:rPr>
      <w:sz w:val="20"/>
      <w:szCs w:val="20"/>
    </w:rPr>
  </w:style>
  <w:style w:type="paragraph" w:styleId="CommentSubject">
    <w:name w:val="annotation subject"/>
    <w:basedOn w:val="CommentText"/>
    <w:next w:val="CommentText"/>
    <w:link w:val="CommentSubjectChar"/>
    <w:uiPriority w:val="99"/>
    <w:semiHidden/>
    <w:unhideWhenUsed/>
    <w:rsid w:val="00E15CF5"/>
    <w:rPr>
      <w:b/>
      <w:bCs/>
    </w:rPr>
  </w:style>
  <w:style w:type="character" w:customStyle="1" w:styleId="CommentSubjectChar">
    <w:name w:val="Comment Subject Char"/>
    <w:basedOn w:val="CommentTextChar"/>
    <w:link w:val="CommentSubject"/>
    <w:uiPriority w:val="99"/>
    <w:semiHidden/>
    <w:rsid w:val="00E15CF5"/>
    <w:rPr>
      <w:b/>
      <w:bCs/>
      <w:sz w:val="20"/>
      <w:szCs w:val="20"/>
    </w:rPr>
  </w:style>
  <w:style w:type="paragraph" w:styleId="FootnoteText">
    <w:name w:val="footnote text"/>
    <w:basedOn w:val="Normal"/>
    <w:link w:val="FootnoteTextChar"/>
    <w:uiPriority w:val="99"/>
    <w:semiHidden/>
    <w:unhideWhenUsed/>
    <w:rsid w:val="008D76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76C2"/>
    <w:rPr>
      <w:sz w:val="20"/>
      <w:szCs w:val="20"/>
    </w:rPr>
  </w:style>
  <w:style w:type="character" w:styleId="FootnoteReference">
    <w:name w:val="footnote reference"/>
    <w:basedOn w:val="DefaultParagraphFont"/>
    <w:uiPriority w:val="99"/>
    <w:semiHidden/>
    <w:unhideWhenUsed/>
    <w:rsid w:val="008D76C2"/>
    <w:rPr>
      <w:vertAlign w:val="superscript"/>
    </w:rPr>
  </w:style>
  <w:style w:type="table" w:styleId="PlainTable2">
    <w:name w:val="Plain Table 2"/>
    <w:basedOn w:val="TableNormal"/>
    <w:uiPriority w:val="42"/>
    <w:rsid w:val="005161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51614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5161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253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95E79"/>
    <w:pPr>
      <w:spacing w:after="0" w:line="240" w:lineRule="auto"/>
    </w:pPr>
  </w:style>
  <w:style w:type="paragraph" w:styleId="Caption">
    <w:name w:val="caption"/>
    <w:basedOn w:val="Normal"/>
    <w:next w:val="Normal"/>
    <w:uiPriority w:val="35"/>
    <w:unhideWhenUsed/>
    <w:qFormat/>
    <w:rsid w:val="000643B1"/>
    <w:pPr>
      <w:spacing w:after="200" w:line="240" w:lineRule="auto"/>
    </w:pPr>
    <w:rPr>
      <w:i/>
      <w:iCs/>
      <w:color w:val="44546A" w:themeColor="text2"/>
      <w:sz w:val="18"/>
      <w:szCs w:val="18"/>
    </w:rPr>
  </w:style>
  <w:style w:type="paragraph" w:styleId="Revision">
    <w:name w:val="Revision"/>
    <w:hidden/>
    <w:uiPriority w:val="99"/>
    <w:semiHidden/>
    <w:rsid w:val="00662649"/>
    <w:pPr>
      <w:spacing w:after="0" w:line="240" w:lineRule="auto"/>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Caption1">
    <w:name w:val="Caption1"/>
    <w:basedOn w:val="Normal"/>
    <w:link w:val="Caption1Char"/>
    <w:qFormat/>
    <w:rsid w:val="36A2D053"/>
    <w:rPr>
      <w:b/>
      <w:bCs/>
      <w:sz w:val="20"/>
      <w:szCs w:val="20"/>
    </w:rPr>
  </w:style>
  <w:style w:type="character" w:customStyle="1" w:styleId="Caption1Char">
    <w:name w:val="Caption1 Char"/>
    <w:basedOn w:val="DefaultParagraphFont"/>
    <w:link w:val="Caption1"/>
    <w:rsid w:val="36A2D053"/>
    <w:rPr>
      <w:b/>
      <w:bCs/>
      <w:sz w:val="20"/>
      <w:szCs w:val="20"/>
    </w:rPr>
  </w:style>
  <w:style w:type="character" w:styleId="Strong">
    <w:name w:val="Strong"/>
    <w:basedOn w:val="DefaultParagraphFont"/>
    <w:uiPriority w:val="22"/>
    <w:qFormat/>
    <w:rPr>
      <w:b/>
      <w:bCs/>
    </w:rPr>
  </w:style>
  <w:style w:type="character" w:customStyle="1" w:styleId="normaltextrun">
    <w:name w:val="normaltextrun"/>
    <w:basedOn w:val="DefaultParagraphFont"/>
    <w:rsid w:val="0068584B"/>
  </w:style>
  <w:style w:type="character" w:customStyle="1" w:styleId="eop">
    <w:name w:val="eop"/>
    <w:basedOn w:val="DefaultParagraphFont"/>
    <w:rsid w:val="0068584B"/>
  </w:style>
  <w:style w:type="paragraph" w:customStyle="1" w:styleId="paragraph">
    <w:name w:val="paragraph"/>
    <w:basedOn w:val="Normal"/>
    <w:rsid w:val="00601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DD700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D7004"/>
    <w:rPr>
      <w:rFonts w:ascii="Calibri" w:hAnsi="Calibri" w:cs="Calibri"/>
      <w:noProof/>
    </w:rPr>
  </w:style>
  <w:style w:type="paragraph" w:customStyle="1" w:styleId="EndNoteBibliography">
    <w:name w:val="EndNote Bibliography"/>
    <w:basedOn w:val="Normal"/>
    <w:link w:val="EndNoteBibliographyChar"/>
    <w:rsid w:val="00DD700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D7004"/>
    <w:rPr>
      <w:rFonts w:ascii="Calibri" w:hAnsi="Calibri" w:cs="Calibri"/>
      <w:noProof/>
    </w:rPr>
  </w:style>
  <w:style w:type="character" w:styleId="Hyperlink">
    <w:name w:val="Hyperlink"/>
    <w:basedOn w:val="DefaultParagraphFont"/>
    <w:uiPriority w:val="99"/>
    <w:unhideWhenUsed/>
    <w:rsid w:val="00DD7004"/>
    <w:rPr>
      <w:color w:val="0563C1" w:themeColor="hyperlink"/>
      <w:u w:val="single"/>
    </w:rPr>
  </w:style>
  <w:style w:type="character" w:styleId="UnresolvedMention">
    <w:name w:val="Unresolved Mention"/>
    <w:basedOn w:val="DefaultParagraphFont"/>
    <w:uiPriority w:val="99"/>
    <w:semiHidden/>
    <w:unhideWhenUsed/>
    <w:rsid w:val="00DD7004"/>
    <w:rPr>
      <w:color w:val="605E5C"/>
      <w:shd w:val="clear" w:color="auto" w:fill="E1DFDD"/>
    </w:rPr>
  </w:style>
  <w:style w:type="paragraph" w:styleId="Title">
    <w:name w:val="Title"/>
    <w:basedOn w:val="Normal"/>
    <w:next w:val="Normal"/>
    <w:link w:val="TitleChar"/>
    <w:uiPriority w:val="10"/>
    <w:qFormat/>
    <w:rsid w:val="004232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325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799050">
      <w:bodyDiv w:val="1"/>
      <w:marLeft w:val="0"/>
      <w:marRight w:val="0"/>
      <w:marTop w:val="0"/>
      <w:marBottom w:val="0"/>
      <w:divBdr>
        <w:top w:val="none" w:sz="0" w:space="0" w:color="auto"/>
        <w:left w:val="none" w:sz="0" w:space="0" w:color="auto"/>
        <w:bottom w:val="none" w:sz="0" w:space="0" w:color="auto"/>
        <w:right w:val="none" w:sz="0" w:space="0" w:color="auto"/>
      </w:divBdr>
    </w:div>
    <w:div w:id="627050082">
      <w:bodyDiv w:val="1"/>
      <w:marLeft w:val="0"/>
      <w:marRight w:val="0"/>
      <w:marTop w:val="0"/>
      <w:marBottom w:val="0"/>
      <w:divBdr>
        <w:top w:val="none" w:sz="0" w:space="0" w:color="auto"/>
        <w:left w:val="none" w:sz="0" w:space="0" w:color="auto"/>
        <w:bottom w:val="none" w:sz="0" w:space="0" w:color="auto"/>
        <w:right w:val="none" w:sz="0" w:space="0" w:color="auto"/>
      </w:divBdr>
      <w:divsChild>
        <w:div w:id="145316636">
          <w:marLeft w:val="0"/>
          <w:marRight w:val="0"/>
          <w:marTop w:val="0"/>
          <w:marBottom w:val="0"/>
          <w:divBdr>
            <w:top w:val="none" w:sz="0" w:space="0" w:color="auto"/>
            <w:left w:val="none" w:sz="0" w:space="0" w:color="auto"/>
            <w:bottom w:val="none" w:sz="0" w:space="0" w:color="auto"/>
            <w:right w:val="none" w:sz="0" w:space="0" w:color="auto"/>
          </w:divBdr>
        </w:div>
        <w:div w:id="1522087152">
          <w:marLeft w:val="0"/>
          <w:marRight w:val="0"/>
          <w:marTop w:val="0"/>
          <w:marBottom w:val="0"/>
          <w:divBdr>
            <w:top w:val="none" w:sz="0" w:space="0" w:color="auto"/>
            <w:left w:val="none" w:sz="0" w:space="0" w:color="auto"/>
            <w:bottom w:val="none" w:sz="0" w:space="0" w:color="auto"/>
            <w:right w:val="none" w:sz="0" w:space="0" w:color="auto"/>
          </w:divBdr>
        </w:div>
        <w:div w:id="1851678397">
          <w:marLeft w:val="0"/>
          <w:marRight w:val="0"/>
          <w:marTop w:val="0"/>
          <w:marBottom w:val="0"/>
          <w:divBdr>
            <w:top w:val="none" w:sz="0" w:space="0" w:color="auto"/>
            <w:left w:val="none" w:sz="0" w:space="0" w:color="auto"/>
            <w:bottom w:val="none" w:sz="0" w:space="0" w:color="auto"/>
            <w:right w:val="none" w:sz="0" w:space="0" w:color="auto"/>
          </w:divBdr>
        </w:div>
        <w:div w:id="488136172">
          <w:marLeft w:val="0"/>
          <w:marRight w:val="0"/>
          <w:marTop w:val="0"/>
          <w:marBottom w:val="0"/>
          <w:divBdr>
            <w:top w:val="none" w:sz="0" w:space="0" w:color="auto"/>
            <w:left w:val="none" w:sz="0" w:space="0" w:color="auto"/>
            <w:bottom w:val="none" w:sz="0" w:space="0" w:color="auto"/>
            <w:right w:val="none" w:sz="0" w:space="0" w:color="auto"/>
          </w:divBdr>
        </w:div>
        <w:div w:id="1284192970">
          <w:marLeft w:val="0"/>
          <w:marRight w:val="0"/>
          <w:marTop w:val="0"/>
          <w:marBottom w:val="0"/>
          <w:divBdr>
            <w:top w:val="none" w:sz="0" w:space="0" w:color="auto"/>
            <w:left w:val="none" w:sz="0" w:space="0" w:color="auto"/>
            <w:bottom w:val="none" w:sz="0" w:space="0" w:color="auto"/>
            <w:right w:val="none" w:sz="0" w:space="0" w:color="auto"/>
          </w:divBdr>
        </w:div>
        <w:div w:id="1820919733">
          <w:marLeft w:val="0"/>
          <w:marRight w:val="0"/>
          <w:marTop w:val="0"/>
          <w:marBottom w:val="0"/>
          <w:divBdr>
            <w:top w:val="none" w:sz="0" w:space="0" w:color="auto"/>
            <w:left w:val="none" w:sz="0" w:space="0" w:color="auto"/>
            <w:bottom w:val="none" w:sz="0" w:space="0" w:color="auto"/>
            <w:right w:val="none" w:sz="0" w:space="0" w:color="auto"/>
          </w:divBdr>
        </w:div>
        <w:div w:id="1711882529">
          <w:marLeft w:val="0"/>
          <w:marRight w:val="0"/>
          <w:marTop w:val="0"/>
          <w:marBottom w:val="0"/>
          <w:divBdr>
            <w:top w:val="none" w:sz="0" w:space="0" w:color="auto"/>
            <w:left w:val="none" w:sz="0" w:space="0" w:color="auto"/>
            <w:bottom w:val="none" w:sz="0" w:space="0" w:color="auto"/>
            <w:right w:val="none" w:sz="0" w:space="0" w:color="auto"/>
          </w:divBdr>
          <w:divsChild>
            <w:div w:id="75787104">
              <w:marLeft w:val="-75"/>
              <w:marRight w:val="0"/>
              <w:marTop w:val="30"/>
              <w:marBottom w:val="30"/>
              <w:divBdr>
                <w:top w:val="none" w:sz="0" w:space="0" w:color="auto"/>
                <w:left w:val="none" w:sz="0" w:space="0" w:color="auto"/>
                <w:bottom w:val="none" w:sz="0" w:space="0" w:color="auto"/>
                <w:right w:val="none" w:sz="0" w:space="0" w:color="auto"/>
              </w:divBdr>
              <w:divsChild>
                <w:div w:id="242490658">
                  <w:marLeft w:val="0"/>
                  <w:marRight w:val="0"/>
                  <w:marTop w:val="0"/>
                  <w:marBottom w:val="0"/>
                  <w:divBdr>
                    <w:top w:val="none" w:sz="0" w:space="0" w:color="auto"/>
                    <w:left w:val="none" w:sz="0" w:space="0" w:color="auto"/>
                    <w:bottom w:val="none" w:sz="0" w:space="0" w:color="auto"/>
                    <w:right w:val="none" w:sz="0" w:space="0" w:color="auto"/>
                  </w:divBdr>
                  <w:divsChild>
                    <w:div w:id="866287231">
                      <w:marLeft w:val="0"/>
                      <w:marRight w:val="0"/>
                      <w:marTop w:val="0"/>
                      <w:marBottom w:val="0"/>
                      <w:divBdr>
                        <w:top w:val="none" w:sz="0" w:space="0" w:color="auto"/>
                        <w:left w:val="none" w:sz="0" w:space="0" w:color="auto"/>
                        <w:bottom w:val="none" w:sz="0" w:space="0" w:color="auto"/>
                        <w:right w:val="none" w:sz="0" w:space="0" w:color="auto"/>
                      </w:divBdr>
                    </w:div>
                  </w:divsChild>
                </w:div>
                <w:div w:id="745540531">
                  <w:marLeft w:val="0"/>
                  <w:marRight w:val="0"/>
                  <w:marTop w:val="0"/>
                  <w:marBottom w:val="0"/>
                  <w:divBdr>
                    <w:top w:val="none" w:sz="0" w:space="0" w:color="auto"/>
                    <w:left w:val="none" w:sz="0" w:space="0" w:color="auto"/>
                    <w:bottom w:val="none" w:sz="0" w:space="0" w:color="auto"/>
                    <w:right w:val="none" w:sz="0" w:space="0" w:color="auto"/>
                  </w:divBdr>
                  <w:divsChild>
                    <w:div w:id="962199610">
                      <w:marLeft w:val="0"/>
                      <w:marRight w:val="0"/>
                      <w:marTop w:val="0"/>
                      <w:marBottom w:val="0"/>
                      <w:divBdr>
                        <w:top w:val="none" w:sz="0" w:space="0" w:color="auto"/>
                        <w:left w:val="none" w:sz="0" w:space="0" w:color="auto"/>
                        <w:bottom w:val="none" w:sz="0" w:space="0" w:color="auto"/>
                        <w:right w:val="none" w:sz="0" w:space="0" w:color="auto"/>
                      </w:divBdr>
                    </w:div>
                  </w:divsChild>
                </w:div>
                <w:div w:id="377433088">
                  <w:marLeft w:val="0"/>
                  <w:marRight w:val="0"/>
                  <w:marTop w:val="0"/>
                  <w:marBottom w:val="0"/>
                  <w:divBdr>
                    <w:top w:val="none" w:sz="0" w:space="0" w:color="auto"/>
                    <w:left w:val="none" w:sz="0" w:space="0" w:color="auto"/>
                    <w:bottom w:val="none" w:sz="0" w:space="0" w:color="auto"/>
                    <w:right w:val="none" w:sz="0" w:space="0" w:color="auto"/>
                  </w:divBdr>
                  <w:divsChild>
                    <w:div w:id="1706444759">
                      <w:marLeft w:val="0"/>
                      <w:marRight w:val="0"/>
                      <w:marTop w:val="0"/>
                      <w:marBottom w:val="0"/>
                      <w:divBdr>
                        <w:top w:val="none" w:sz="0" w:space="0" w:color="auto"/>
                        <w:left w:val="none" w:sz="0" w:space="0" w:color="auto"/>
                        <w:bottom w:val="none" w:sz="0" w:space="0" w:color="auto"/>
                        <w:right w:val="none" w:sz="0" w:space="0" w:color="auto"/>
                      </w:divBdr>
                    </w:div>
                  </w:divsChild>
                </w:div>
                <w:div w:id="1010644681">
                  <w:marLeft w:val="0"/>
                  <w:marRight w:val="0"/>
                  <w:marTop w:val="0"/>
                  <w:marBottom w:val="0"/>
                  <w:divBdr>
                    <w:top w:val="none" w:sz="0" w:space="0" w:color="auto"/>
                    <w:left w:val="none" w:sz="0" w:space="0" w:color="auto"/>
                    <w:bottom w:val="none" w:sz="0" w:space="0" w:color="auto"/>
                    <w:right w:val="none" w:sz="0" w:space="0" w:color="auto"/>
                  </w:divBdr>
                  <w:divsChild>
                    <w:div w:id="340546360">
                      <w:marLeft w:val="0"/>
                      <w:marRight w:val="0"/>
                      <w:marTop w:val="0"/>
                      <w:marBottom w:val="0"/>
                      <w:divBdr>
                        <w:top w:val="none" w:sz="0" w:space="0" w:color="auto"/>
                        <w:left w:val="none" w:sz="0" w:space="0" w:color="auto"/>
                        <w:bottom w:val="none" w:sz="0" w:space="0" w:color="auto"/>
                        <w:right w:val="none" w:sz="0" w:space="0" w:color="auto"/>
                      </w:divBdr>
                    </w:div>
                  </w:divsChild>
                </w:div>
                <w:div w:id="255750569">
                  <w:marLeft w:val="0"/>
                  <w:marRight w:val="0"/>
                  <w:marTop w:val="0"/>
                  <w:marBottom w:val="0"/>
                  <w:divBdr>
                    <w:top w:val="none" w:sz="0" w:space="0" w:color="auto"/>
                    <w:left w:val="none" w:sz="0" w:space="0" w:color="auto"/>
                    <w:bottom w:val="none" w:sz="0" w:space="0" w:color="auto"/>
                    <w:right w:val="none" w:sz="0" w:space="0" w:color="auto"/>
                  </w:divBdr>
                  <w:divsChild>
                    <w:div w:id="1163275064">
                      <w:marLeft w:val="0"/>
                      <w:marRight w:val="0"/>
                      <w:marTop w:val="0"/>
                      <w:marBottom w:val="0"/>
                      <w:divBdr>
                        <w:top w:val="none" w:sz="0" w:space="0" w:color="auto"/>
                        <w:left w:val="none" w:sz="0" w:space="0" w:color="auto"/>
                        <w:bottom w:val="none" w:sz="0" w:space="0" w:color="auto"/>
                        <w:right w:val="none" w:sz="0" w:space="0" w:color="auto"/>
                      </w:divBdr>
                    </w:div>
                  </w:divsChild>
                </w:div>
                <w:div w:id="1193882732">
                  <w:marLeft w:val="0"/>
                  <w:marRight w:val="0"/>
                  <w:marTop w:val="0"/>
                  <w:marBottom w:val="0"/>
                  <w:divBdr>
                    <w:top w:val="none" w:sz="0" w:space="0" w:color="auto"/>
                    <w:left w:val="none" w:sz="0" w:space="0" w:color="auto"/>
                    <w:bottom w:val="none" w:sz="0" w:space="0" w:color="auto"/>
                    <w:right w:val="none" w:sz="0" w:space="0" w:color="auto"/>
                  </w:divBdr>
                  <w:divsChild>
                    <w:div w:id="403063361">
                      <w:marLeft w:val="0"/>
                      <w:marRight w:val="0"/>
                      <w:marTop w:val="0"/>
                      <w:marBottom w:val="0"/>
                      <w:divBdr>
                        <w:top w:val="none" w:sz="0" w:space="0" w:color="auto"/>
                        <w:left w:val="none" w:sz="0" w:space="0" w:color="auto"/>
                        <w:bottom w:val="none" w:sz="0" w:space="0" w:color="auto"/>
                        <w:right w:val="none" w:sz="0" w:space="0" w:color="auto"/>
                      </w:divBdr>
                    </w:div>
                  </w:divsChild>
                </w:div>
                <w:div w:id="1117717720">
                  <w:marLeft w:val="0"/>
                  <w:marRight w:val="0"/>
                  <w:marTop w:val="0"/>
                  <w:marBottom w:val="0"/>
                  <w:divBdr>
                    <w:top w:val="none" w:sz="0" w:space="0" w:color="auto"/>
                    <w:left w:val="none" w:sz="0" w:space="0" w:color="auto"/>
                    <w:bottom w:val="none" w:sz="0" w:space="0" w:color="auto"/>
                    <w:right w:val="none" w:sz="0" w:space="0" w:color="auto"/>
                  </w:divBdr>
                  <w:divsChild>
                    <w:div w:id="408428311">
                      <w:marLeft w:val="0"/>
                      <w:marRight w:val="0"/>
                      <w:marTop w:val="0"/>
                      <w:marBottom w:val="0"/>
                      <w:divBdr>
                        <w:top w:val="none" w:sz="0" w:space="0" w:color="auto"/>
                        <w:left w:val="none" w:sz="0" w:space="0" w:color="auto"/>
                        <w:bottom w:val="none" w:sz="0" w:space="0" w:color="auto"/>
                        <w:right w:val="none" w:sz="0" w:space="0" w:color="auto"/>
                      </w:divBdr>
                    </w:div>
                  </w:divsChild>
                </w:div>
                <w:div w:id="876235320">
                  <w:marLeft w:val="0"/>
                  <w:marRight w:val="0"/>
                  <w:marTop w:val="0"/>
                  <w:marBottom w:val="0"/>
                  <w:divBdr>
                    <w:top w:val="none" w:sz="0" w:space="0" w:color="auto"/>
                    <w:left w:val="none" w:sz="0" w:space="0" w:color="auto"/>
                    <w:bottom w:val="none" w:sz="0" w:space="0" w:color="auto"/>
                    <w:right w:val="none" w:sz="0" w:space="0" w:color="auto"/>
                  </w:divBdr>
                  <w:divsChild>
                    <w:div w:id="1524781039">
                      <w:marLeft w:val="0"/>
                      <w:marRight w:val="0"/>
                      <w:marTop w:val="0"/>
                      <w:marBottom w:val="0"/>
                      <w:divBdr>
                        <w:top w:val="none" w:sz="0" w:space="0" w:color="auto"/>
                        <w:left w:val="none" w:sz="0" w:space="0" w:color="auto"/>
                        <w:bottom w:val="none" w:sz="0" w:space="0" w:color="auto"/>
                        <w:right w:val="none" w:sz="0" w:space="0" w:color="auto"/>
                      </w:divBdr>
                    </w:div>
                  </w:divsChild>
                </w:div>
                <w:div w:id="1859462740">
                  <w:marLeft w:val="0"/>
                  <w:marRight w:val="0"/>
                  <w:marTop w:val="0"/>
                  <w:marBottom w:val="0"/>
                  <w:divBdr>
                    <w:top w:val="none" w:sz="0" w:space="0" w:color="auto"/>
                    <w:left w:val="none" w:sz="0" w:space="0" w:color="auto"/>
                    <w:bottom w:val="none" w:sz="0" w:space="0" w:color="auto"/>
                    <w:right w:val="none" w:sz="0" w:space="0" w:color="auto"/>
                  </w:divBdr>
                  <w:divsChild>
                    <w:div w:id="1488090273">
                      <w:marLeft w:val="0"/>
                      <w:marRight w:val="0"/>
                      <w:marTop w:val="0"/>
                      <w:marBottom w:val="0"/>
                      <w:divBdr>
                        <w:top w:val="none" w:sz="0" w:space="0" w:color="auto"/>
                        <w:left w:val="none" w:sz="0" w:space="0" w:color="auto"/>
                        <w:bottom w:val="none" w:sz="0" w:space="0" w:color="auto"/>
                        <w:right w:val="none" w:sz="0" w:space="0" w:color="auto"/>
                      </w:divBdr>
                    </w:div>
                  </w:divsChild>
                </w:div>
                <w:div w:id="1529874812">
                  <w:marLeft w:val="0"/>
                  <w:marRight w:val="0"/>
                  <w:marTop w:val="0"/>
                  <w:marBottom w:val="0"/>
                  <w:divBdr>
                    <w:top w:val="none" w:sz="0" w:space="0" w:color="auto"/>
                    <w:left w:val="none" w:sz="0" w:space="0" w:color="auto"/>
                    <w:bottom w:val="none" w:sz="0" w:space="0" w:color="auto"/>
                    <w:right w:val="none" w:sz="0" w:space="0" w:color="auto"/>
                  </w:divBdr>
                  <w:divsChild>
                    <w:div w:id="1870991000">
                      <w:marLeft w:val="0"/>
                      <w:marRight w:val="0"/>
                      <w:marTop w:val="0"/>
                      <w:marBottom w:val="0"/>
                      <w:divBdr>
                        <w:top w:val="none" w:sz="0" w:space="0" w:color="auto"/>
                        <w:left w:val="none" w:sz="0" w:space="0" w:color="auto"/>
                        <w:bottom w:val="none" w:sz="0" w:space="0" w:color="auto"/>
                        <w:right w:val="none" w:sz="0" w:space="0" w:color="auto"/>
                      </w:divBdr>
                    </w:div>
                  </w:divsChild>
                </w:div>
                <w:div w:id="1815101513">
                  <w:marLeft w:val="0"/>
                  <w:marRight w:val="0"/>
                  <w:marTop w:val="0"/>
                  <w:marBottom w:val="0"/>
                  <w:divBdr>
                    <w:top w:val="none" w:sz="0" w:space="0" w:color="auto"/>
                    <w:left w:val="none" w:sz="0" w:space="0" w:color="auto"/>
                    <w:bottom w:val="none" w:sz="0" w:space="0" w:color="auto"/>
                    <w:right w:val="none" w:sz="0" w:space="0" w:color="auto"/>
                  </w:divBdr>
                  <w:divsChild>
                    <w:div w:id="1693339156">
                      <w:marLeft w:val="0"/>
                      <w:marRight w:val="0"/>
                      <w:marTop w:val="0"/>
                      <w:marBottom w:val="0"/>
                      <w:divBdr>
                        <w:top w:val="none" w:sz="0" w:space="0" w:color="auto"/>
                        <w:left w:val="none" w:sz="0" w:space="0" w:color="auto"/>
                        <w:bottom w:val="none" w:sz="0" w:space="0" w:color="auto"/>
                        <w:right w:val="none" w:sz="0" w:space="0" w:color="auto"/>
                      </w:divBdr>
                    </w:div>
                  </w:divsChild>
                </w:div>
                <w:div w:id="1334606748">
                  <w:marLeft w:val="0"/>
                  <w:marRight w:val="0"/>
                  <w:marTop w:val="0"/>
                  <w:marBottom w:val="0"/>
                  <w:divBdr>
                    <w:top w:val="none" w:sz="0" w:space="0" w:color="auto"/>
                    <w:left w:val="none" w:sz="0" w:space="0" w:color="auto"/>
                    <w:bottom w:val="none" w:sz="0" w:space="0" w:color="auto"/>
                    <w:right w:val="none" w:sz="0" w:space="0" w:color="auto"/>
                  </w:divBdr>
                  <w:divsChild>
                    <w:div w:id="1254700354">
                      <w:marLeft w:val="0"/>
                      <w:marRight w:val="0"/>
                      <w:marTop w:val="0"/>
                      <w:marBottom w:val="0"/>
                      <w:divBdr>
                        <w:top w:val="none" w:sz="0" w:space="0" w:color="auto"/>
                        <w:left w:val="none" w:sz="0" w:space="0" w:color="auto"/>
                        <w:bottom w:val="none" w:sz="0" w:space="0" w:color="auto"/>
                        <w:right w:val="none" w:sz="0" w:space="0" w:color="auto"/>
                      </w:divBdr>
                    </w:div>
                  </w:divsChild>
                </w:div>
                <w:div w:id="218975733">
                  <w:marLeft w:val="0"/>
                  <w:marRight w:val="0"/>
                  <w:marTop w:val="0"/>
                  <w:marBottom w:val="0"/>
                  <w:divBdr>
                    <w:top w:val="none" w:sz="0" w:space="0" w:color="auto"/>
                    <w:left w:val="none" w:sz="0" w:space="0" w:color="auto"/>
                    <w:bottom w:val="none" w:sz="0" w:space="0" w:color="auto"/>
                    <w:right w:val="none" w:sz="0" w:space="0" w:color="auto"/>
                  </w:divBdr>
                  <w:divsChild>
                    <w:div w:id="1168789333">
                      <w:marLeft w:val="0"/>
                      <w:marRight w:val="0"/>
                      <w:marTop w:val="0"/>
                      <w:marBottom w:val="0"/>
                      <w:divBdr>
                        <w:top w:val="none" w:sz="0" w:space="0" w:color="auto"/>
                        <w:left w:val="none" w:sz="0" w:space="0" w:color="auto"/>
                        <w:bottom w:val="none" w:sz="0" w:space="0" w:color="auto"/>
                        <w:right w:val="none" w:sz="0" w:space="0" w:color="auto"/>
                      </w:divBdr>
                    </w:div>
                  </w:divsChild>
                </w:div>
                <w:div w:id="116066940">
                  <w:marLeft w:val="0"/>
                  <w:marRight w:val="0"/>
                  <w:marTop w:val="0"/>
                  <w:marBottom w:val="0"/>
                  <w:divBdr>
                    <w:top w:val="none" w:sz="0" w:space="0" w:color="auto"/>
                    <w:left w:val="none" w:sz="0" w:space="0" w:color="auto"/>
                    <w:bottom w:val="none" w:sz="0" w:space="0" w:color="auto"/>
                    <w:right w:val="none" w:sz="0" w:space="0" w:color="auto"/>
                  </w:divBdr>
                  <w:divsChild>
                    <w:div w:id="1065640907">
                      <w:marLeft w:val="0"/>
                      <w:marRight w:val="0"/>
                      <w:marTop w:val="0"/>
                      <w:marBottom w:val="0"/>
                      <w:divBdr>
                        <w:top w:val="none" w:sz="0" w:space="0" w:color="auto"/>
                        <w:left w:val="none" w:sz="0" w:space="0" w:color="auto"/>
                        <w:bottom w:val="none" w:sz="0" w:space="0" w:color="auto"/>
                        <w:right w:val="none" w:sz="0" w:space="0" w:color="auto"/>
                      </w:divBdr>
                    </w:div>
                  </w:divsChild>
                </w:div>
                <w:div w:id="836269968">
                  <w:marLeft w:val="0"/>
                  <w:marRight w:val="0"/>
                  <w:marTop w:val="0"/>
                  <w:marBottom w:val="0"/>
                  <w:divBdr>
                    <w:top w:val="none" w:sz="0" w:space="0" w:color="auto"/>
                    <w:left w:val="none" w:sz="0" w:space="0" w:color="auto"/>
                    <w:bottom w:val="none" w:sz="0" w:space="0" w:color="auto"/>
                    <w:right w:val="none" w:sz="0" w:space="0" w:color="auto"/>
                  </w:divBdr>
                  <w:divsChild>
                    <w:div w:id="789208739">
                      <w:marLeft w:val="0"/>
                      <w:marRight w:val="0"/>
                      <w:marTop w:val="0"/>
                      <w:marBottom w:val="0"/>
                      <w:divBdr>
                        <w:top w:val="none" w:sz="0" w:space="0" w:color="auto"/>
                        <w:left w:val="none" w:sz="0" w:space="0" w:color="auto"/>
                        <w:bottom w:val="none" w:sz="0" w:space="0" w:color="auto"/>
                        <w:right w:val="none" w:sz="0" w:space="0" w:color="auto"/>
                      </w:divBdr>
                    </w:div>
                  </w:divsChild>
                </w:div>
                <w:div w:id="996148453">
                  <w:marLeft w:val="0"/>
                  <w:marRight w:val="0"/>
                  <w:marTop w:val="0"/>
                  <w:marBottom w:val="0"/>
                  <w:divBdr>
                    <w:top w:val="none" w:sz="0" w:space="0" w:color="auto"/>
                    <w:left w:val="none" w:sz="0" w:space="0" w:color="auto"/>
                    <w:bottom w:val="none" w:sz="0" w:space="0" w:color="auto"/>
                    <w:right w:val="none" w:sz="0" w:space="0" w:color="auto"/>
                  </w:divBdr>
                  <w:divsChild>
                    <w:div w:id="1797065346">
                      <w:marLeft w:val="0"/>
                      <w:marRight w:val="0"/>
                      <w:marTop w:val="0"/>
                      <w:marBottom w:val="0"/>
                      <w:divBdr>
                        <w:top w:val="none" w:sz="0" w:space="0" w:color="auto"/>
                        <w:left w:val="none" w:sz="0" w:space="0" w:color="auto"/>
                        <w:bottom w:val="none" w:sz="0" w:space="0" w:color="auto"/>
                        <w:right w:val="none" w:sz="0" w:space="0" w:color="auto"/>
                      </w:divBdr>
                    </w:div>
                  </w:divsChild>
                </w:div>
                <w:div w:id="2140417144">
                  <w:marLeft w:val="0"/>
                  <w:marRight w:val="0"/>
                  <w:marTop w:val="0"/>
                  <w:marBottom w:val="0"/>
                  <w:divBdr>
                    <w:top w:val="none" w:sz="0" w:space="0" w:color="auto"/>
                    <w:left w:val="none" w:sz="0" w:space="0" w:color="auto"/>
                    <w:bottom w:val="none" w:sz="0" w:space="0" w:color="auto"/>
                    <w:right w:val="none" w:sz="0" w:space="0" w:color="auto"/>
                  </w:divBdr>
                  <w:divsChild>
                    <w:div w:id="1498955847">
                      <w:marLeft w:val="0"/>
                      <w:marRight w:val="0"/>
                      <w:marTop w:val="0"/>
                      <w:marBottom w:val="0"/>
                      <w:divBdr>
                        <w:top w:val="none" w:sz="0" w:space="0" w:color="auto"/>
                        <w:left w:val="none" w:sz="0" w:space="0" w:color="auto"/>
                        <w:bottom w:val="none" w:sz="0" w:space="0" w:color="auto"/>
                        <w:right w:val="none" w:sz="0" w:space="0" w:color="auto"/>
                      </w:divBdr>
                    </w:div>
                  </w:divsChild>
                </w:div>
                <w:div w:id="1158572243">
                  <w:marLeft w:val="0"/>
                  <w:marRight w:val="0"/>
                  <w:marTop w:val="0"/>
                  <w:marBottom w:val="0"/>
                  <w:divBdr>
                    <w:top w:val="none" w:sz="0" w:space="0" w:color="auto"/>
                    <w:left w:val="none" w:sz="0" w:space="0" w:color="auto"/>
                    <w:bottom w:val="none" w:sz="0" w:space="0" w:color="auto"/>
                    <w:right w:val="none" w:sz="0" w:space="0" w:color="auto"/>
                  </w:divBdr>
                  <w:divsChild>
                    <w:div w:id="130709020">
                      <w:marLeft w:val="0"/>
                      <w:marRight w:val="0"/>
                      <w:marTop w:val="0"/>
                      <w:marBottom w:val="0"/>
                      <w:divBdr>
                        <w:top w:val="none" w:sz="0" w:space="0" w:color="auto"/>
                        <w:left w:val="none" w:sz="0" w:space="0" w:color="auto"/>
                        <w:bottom w:val="none" w:sz="0" w:space="0" w:color="auto"/>
                        <w:right w:val="none" w:sz="0" w:space="0" w:color="auto"/>
                      </w:divBdr>
                    </w:div>
                  </w:divsChild>
                </w:div>
                <w:div w:id="307784316">
                  <w:marLeft w:val="0"/>
                  <w:marRight w:val="0"/>
                  <w:marTop w:val="0"/>
                  <w:marBottom w:val="0"/>
                  <w:divBdr>
                    <w:top w:val="none" w:sz="0" w:space="0" w:color="auto"/>
                    <w:left w:val="none" w:sz="0" w:space="0" w:color="auto"/>
                    <w:bottom w:val="none" w:sz="0" w:space="0" w:color="auto"/>
                    <w:right w:val="none" w:sz="0" w:space="0" w:color="auto"/>
                  </w:divBdr>
                  <w:divsChild>
                    <w:div w:id="511532546">
                      <w:marLeft w:val="0"/>
                      <w:marRight w:val="0"/>
                      <w:marTop w:val="0"/>
                      <w:marBottom w:val="0"/>
                      <w:divBdr>
                        <w:top w:val="none" w:sz="0" w:space="0" w:color="auto"/>
                        <w:left w:val="none" w:sz="0" w:space="0" w:color="auto"/>
                        <w:bottom w:val="none" w:sz="0" w:space="0" w:color="auto"/>
                        <w:right w:val="none" w:sz="0" w:space="0" w:color="auto"/>
                      </w:divBdr>
                    </w:div>
                  </w:divsChild>
                </w:div>
                <w:div w:id="635984881">
                  <w:marLeft w:val="0"/>
                  <w:marRight w:val="0"/>
                  <w:marTop w:val="0"/>
                  <w:marBottom w:val="0"/>
                  <w:divBdr>
                    <w:top w:val="none" w:sz="0" w:space="0" w:color="auto"/>
                    <w:left w:val="none" w:sz="0" w:space="0" w:color="auto"/>
                    <w:bottom w:val="none" w:sz="0" w:space="0" w:color="auto"/>
                    <w:right w:val="none" w:sz="0" w:space="0" w:color="auto"/>
                  </w:divBdr>
                  <w:divsChild>
                    <w:div w:id="1216043145">
                      <w:marLeft w:val="0"/>
                      <w:marRight w:val="0"/>
                      <w:marTop w:val="0"/>
                      <w:marBottom w:val="0"/>
                      <w:divBdr>
                        <w:top w:val="none" w:sz="0" w:space="0" w:color="auto"/>
                        <w:left w:val="none" w:sz="0" w:space="0" w:color="auto"/>
                        <w:bottom w:val="none" w:sz="0" w:space="0" w:color="auto"/>
                        <w:right w:val="none" w:sz="0" w:space="0" w:color="auto"/>
                      </w:divBdr>
                    </w:div>
                  </w:divsChild>
                </w:div>
                <w:div w:id="567348863">
                  <w:marLeft w:val="0"/>
                  <w:marRight w:val="0"/>
                  <w:marTop w:val="0"/>
                  <w:marBottom w:val="0"/>
                  <w:divBdr>
                    <w:top w:val="none" w:sz="0" w:space="0" w:color="auto"/>
                    <w:left w:val="none" w:sz="0" w:space="0" w:color="auto"/>
                    <w:bottom w:val="none" w:sz="0" w:space="0" w:color="auto"/>
                    <w:right w:val="none" w:sz="0" w:space="0" w:color="auto"/>
                  </w:divBdr>
                  <w:divsChild>
                    <w:div w:id="1098797716">
                      <w:marLeft w:val="0"/>
                      <w:marRight w:val="0"/>
                      <w:marTop w:val="0"/>
                      <w:marBottom w:val="0"/>
                      <w:divBdr>
                        <w:top w:val="none" w:sz="0" w:space="0" w:color="auto"/>
                        <w:left w:val="none" w:sz="0" w:space="0" w:color="auto"/>
                        <w:bottom w:val="none" w:sz="0" w:space="0" w:color="auto"/>
                        <w:right w:val="none" w:sz="0" w:space="0" w:color="auto"/>
                      </w:divBdr>
                    </w:div>
                  </w:divsChild>
                </w:div>
                <w:div w:id="1277058835">
                  <w:marLeft w:val="0"/>
                  <w:marRight w:val="0"/>
                  <w:marTop w:val="0"/>
                  <w:marBottom w:val="0"/>
                  <w:divBdr>
                    <w:top w:val="none" w:sz="0" w:space="0" w:color="auto"/>
                    <w:left w:val="none" w:sz="0" w:space="0" w:color="auto"/>
                    <w:bottom w:val="none" w:sz="0" w:space="0" w:color="auto"/>
                    <w:right w:val="none" w:sz="0" w:space="0" w:color="auto"/>
                  </w:divBdr>
                  <w:divsChild>
                    <w:div w:id="813251917">
                      <w:marLeft w:val="0"/>
                      <w:marRight w:val="0"/>
                      <w:marTop w:val="0"/>
                      <w:marBottom w:val="0"/>
                      <w:divBdr>
                        <w:top w:val="none" w:sz="0" w:space="0" w:color="auto"/>
                        <w:left w:val="none" w:sz="0" w:space="0" w:color="auto"/>
                        <w:bottom w:val="none" w:sz="0" w:space="0" w:color="auto"/>
                        <w:right w:val="none" w:sz="0" w:space="0" w:color="auto"/>
                      </w:divBdr>
                    </w:div>
                  </w:divsChild>
                </w:div>
                <w:div w:id="755131655">
                  <w:marLeft w:val="0"/>
                  <w:marRight w:val="0"/>
                  <w:marTop w:val="0"/>
                  <w:marBottom w:val="0"/>
                  <w:divBdr>
                    <w:top w:val="none" w:sz="0" w:space="0" w:color="auto"/>
                    <w:left w:val="none" w:sz="0" w:space="0" w:color="auto"/>
                    <w:bottom w:val="none" w:sz="0" w:space="0" w:color="auto"/>
                    <w:right w:val="none" w:sz="0" w:space="0" w:color="auto"/>
                  </w:divBdr>
                  <w:divsChild>
                    <w:div w:id="2107187951">
                      <w:marLeft w:val="0"/>
                      <w:marRight w:val="0"/>
                      <w:marTop w:val="0"/>
                      <w:marBottom w:val="0"/>
                      <w:divBdr>
                        <w:top w:val="none" w:sz="0" w:space="0" w:color="auto"/>
                        <w:left w:val="none" w:sz="0" w:space="0" w:color="auto"/>
                        <w:bottom w:val="none" w:sz="0" w:space="0" w:color="auto"/>
                        <w:right w:val="none" w:sz="0" w:space="0" w:color="auto"/>
                      </w:divBdr>
                    </w:div>
                  </w:divsChild>
                </w:div>
                <w:div w:id="1682002503">
                  <w:marLeft w:val="0"/>
                  <w:marRight w:val="0"/>
                  <w:marTop w:val="0"/>
                  <w:marBottom w:val="0"/>
                  <w:divBdr>
                    <w:top w:val="none" w:sz="0" w:space="0" w:color="auto"/>
                    <w:left w:val="none" w:sz="0" w:space="0" w:color="auto"/>
                    <w:bottom w:val="none" w:sz="0" w:space="0" w:color="auto"/>
                    <w:right w:val="none" w:sz="0" w:space="0" w:color="auto"/>
                  </w:divBdr>
                  <w:divsChild>
                    <w:div w:id="1594510374">
                      <w:marLeft w:val="0"/>
                      <w:marRight w:val="0"/>
                      <w:marTop w:val="0"/>
                      <w:marBottom w:val="0"/>
                      <w:divBdr>
                        <w:top w:val="none" w:sz="0" w:space="0" w:color="auto"/>
                        <w:left w:val="none" w:sz="0" w:space="0" w:color="auto"/>
                        <w:bottom w:val="none" w:sz="0" w:space="0" w:color="auto"/>
                        <w:right w:val="none" w:sz="0" w:space="0" w:color="auto"/>
                      </w:divBdr>
                    </w:div>
                  </w:divsChild>
                </w:div>
                <w:div w:id="356854361">
                  <w:marLeft w:val="0"/>
                  <w:marRight w:val="0"/>
                  <w:marTop w:val="0"/>
                  <w:marBottom w:val="0"/>
                  <w:divBdr>
                    <w:top w:val="none" w:sz="0" w:space="0" w:color="auto"/>
                    <w:left w:val="none" w:sz="0" w:space="0" w:color="auto"/>
                    <w:bottom w:val="none" w:sz="0" w:space="0" w:color="auto"/>
                    <w:right w:val="none" w:sz="0" w:space="0" w:color="auto"/>
                  </w:divBdr>
                  <w:divsChild>
                    <w:div w:id="240483477">
                      <w:marLeft w:val="0"/>
                      <w:marRight w:val="0"/>
                      <w:marTop w:val="0"/>
                      <w:marBottom w:val="0"/>
                      <w:divBdr>
                        <w:top w:val="none" w:sz="0" w:space="0" w:color="auto"/>
                        <w:left w:val="none" w:sz="0" w:space="0" w:color="auto"/>
                        <w:bottom w:val="none" w:sz="0" w:space="0" w:color="auto"/>
                        <w:right w:val="none" w:sz="0" w:space="0" w:color="auto"/>
                      </w:divBdr>
                    </w:div>
                  </w:divsChild>
                </w:div>
                <w:div w:id="721489198">
                  <w:marLeft w:val="0"/>
                  <w:marRight w:val="0"/>
                  <w:marTop w:val="0"/>
                  <w:marBottom w:val="0"/>
                  <w:divBdr>
                    <w:top w:val="none" w:sz="0" w:space="0" w:color="auto"/>
                    <w:left w:val="none" w:sz="0" w:space="0" w:color="auto"/>
                    <w:bottom w:val="none" w:sz="0" w:space="0" w:color="auto"/>
                    <w:right w:val="none" w:sz="0" w:space="0" w:color="auto"/>
                  </w:divBdr>
                  <w:divsChild>
                    <w:div w:id="955524350">
                      <w:marLeft w:val="0"/>
                      <w:marRight w:val="0"/>
                      <w:marTop w:val="0"/>
                      <w:marBottom w:val="0"/>
                      <w:divBdr>
                        <w:top w:val="none" w:sz="0" w:space="0" w:color="auto"/>
                        <w:left w:val="none" w:sz="0" w:space="0" w:color="auto"/>
                        <w:bottom w:val="none" w:sz="0" w:space="0" w:color="auto"/>
                        <w:right w:val="none" w:sz="0" w:space="0" w:color="auto"/>
                      </w:divBdr>
                    </w:div>
                  </w:divsChild>
                </w:div>
                <w:div w:id="1753232352">
                  <w:marLeft w:val="0"/>
                  <w:marRight w:val="0"/>
                  <w:marTop w:val="0"/>
                  <w:marBottom w:val="0"/>
                  <w:divBdr>
                    <w:top w:val="none" w:sz="0" w:space="0" w:color="auto"/>
                    <w:left w:val="none" w:sz="0" w:space="0" w:color="auto"/>
                    <w:bottom w:val="none" w:sz="0" w:space="0" w:color="auto"/>
                    <w:right w:val="none" w:sz="0" w:space="0" w:color="auto"/>
                  </w:divBdr>
                  <w:divsChild>
                    <w:div w:id="695813201">
                      <w:marLeft w:val="0"/>
                      <w:marRight w:val="0"/>
                      <w:marTop w:val="0"/>
                      <w:marBottom w:val="0"/>
                      <w:divBdr>
                        <w:top w:val="none" w:sz="0" w:space="0" w:color="auto"/>
                        <w:left w:val="none" w:sz="0" w:space="0" w:color="auto"/>
                        <w:bottom w:val="none" w:sz="0" w:space="0" w:color="auto"/>
                        <w:right w:val="none" w:sz="0" w:space="0" w:color="auto"/>
                      </w:divBdr>
                    </w:div>
                  </w:divsChild>
                </w:div>
                <w:div w:id="2033216216">
                  <w:marLeft w:val="0"/>
                  <w:marRight w:val="0"/>
                  <w:marTop w:val="0"/>
                  <w:marBottom w:val="0"/>
                  <w:divBdr>
                    <w:top w:val="none" w:sz="0" w:space="0" w:color="auto"/>
                    <w:left w:val="none" w:sz="0" w:space="0" w:color="auto"/>
                    <w:bottom w:val="none" w:sz="0" w:space="0" w:color="auto"/>
                    <w:right w:val="none" w:sz="0" w:space="0" w:color="auto"/>
                  </w:divBdr>
                  <w:divsChild>
                    <w:div w:id="950015427">
                      <w:marLeft w:val="0"/>
                      <w:marRight w:val="0"/>
                      <w:marTop w:val="0"/>
                      <w:marBottom w:val="0"/>
                      <w:divBdr>
                        <w:top w:val="none" w:sz="0" w:space="0" w:color="auto"/>
                        <w:left w:val="none" w:sz="0" w:space="0" w:color="auto"/>
                        <w:bottom w:val="none" w:sz="0" w:space="0" w:color="auto"/>
                        <w:right w:val="none" w:sz="0" w:space="0" w:color="auto"/>
                      </w:divBdr>
                    </w:div>
                  </w:divsChild>
                </w:div>
                <w:div w:id="1865828475">
                  <w:marLeft w:val="0"/>
                  <w:marRight w:val="0"/>
                  <w:marTop w:val="0"/>
                  <w:marBottom w:val="0"/>
                  <w:divBdr>
                    <w:top w:val="none" w:sz="0" w:space="0" w:color="auto"/>
                    <w:left w:val="none" w:sz="0" w:space="0" w:color="auto"/>
                    <w:bottom w:val="none" w:sz="0" w:space="0" w:color="auto"/>
                    <w:right w:val="none" w:sz="0" w:space="0" w:color="auto"/>
                  </w:divBdr>
                  <w:divsChild>
                    <w:div w:id="267398847">
                      <w:marLeft w:val="0"/>
                      <w:marRight w:val="0"/>
                      <w:marTop w:val="0"/>
                      <w:marBottom w:val="0"/>
                      <w:divBdr>
                        <w:top w:val="none" w:sz="0" w:space="0" w:color="auto"/>
                        <w:left w:val="none" w:sz="0" w:space="0" w:color="auto"/>
                        <w:bottom w:val="none" w:sz="0" w:space="0" w:color="auto"/>
                        <w:right w:val="none" w:sz="0" w:space="0" w:color="auto"/>
                      </w:divBdr>
                    </w:div>
                  </w:divsChild>
                </w:div>
                <w:div w:id="1811746724">
                  <w:marLeft w:val="0"/>
                  <w:marRight w:val="0"/>
                  <w:marTop w:val="0"/>
                  <w:marBottom w:val="0"/>
                  <w:divBdr>
                    <w:top w:val="none" w:sz="0" w:space="0" w:color="auto"/>
                    <w:left w:val="none" w:sz="0" w:space="0" w:color="auto"/>
                    <w:bottom w:val="none" w:sz="0" w:space="0" w:color="auto"/>
                    <w:right w:val="none" w:sz="0" w:space="0" w:color="auto"/>
                  </w:divBdr>
                  <w:divsChild>
                    <w:div w:id="637731129">
                      <w:marLeft w:val="0"/>
                      <w:marRight w:val="0"/>
                      <w:marTop w:val="0"/>
                      <w:marBottom w:val="0"/>
                      <w:divBdr>
                        <w:top w:val="none" w:sz="0" w:space="0" w:color="auto"/>
                        <w:left w:val="none" w:sz="0" w:space="0" w:color="auto"/>
                        <w:bottom w:val="none" w:sz="0" w:space="0" w:color="auto"/>
                        <w:right w:val="none" w:sz="0" w:space="0" w:color="auto"/>
                      </w:divBdr>
                    </w:div>
                  </w:divsChild>
                </w:div>
                <w:div w:id="1923680203">
                  <w:marLeft w:val="0"/>
                  <w:marRight w:val="0"/>
                  <w:marTop w:val="0"/>
                  <w:marBottom w:val="0"/>
                  <w:divBdr>
                    <w:top w:val="none" w:sz="0" w:space="0" w:color="auto"/>
                    <w:left w:val="none" w:sz="0" w:space="0" w:color="auto"/>
                    <w:bottom w:val="none" w:sz="0" w:space="0" w:color="auto"/>
                    <w:right w:val="none" w:sz="0" w:space="0" w:color="auto"/>
                  </w:divBdr>
                  <w:divsChild>
                    <w:div w:id="547688876">
                      <w:marLeft w:val="0"/>
                      <w:marRight w:val="0"/>
                      <w:marTop w:val="0"/>
                      <w:marBottom w:val="0"/>
                      <w:divBdr>
                        <w:top w:val="none" w:sz="0" w:space="0" w:color="auto"/>
                        <w:left w:val="none" w:sz="0" w:space="0" w:color="auto"/>
                        <w:bottom w:val="none" w:sz="0" w:space="0" w:color="auto"/>
                        <w:right w:val="none" w:sz="0" w:space="0" w:color="auto"/>
                      </w:divBdr>
                    </w:div>
                  </w:divsChild>
                </w:div>
                <w:div w:id="1103308135">
                  <w:marLeft w:val="0"/>
                  <w:marRight w:val="0"/>
                  <w:marTop w:val="0"/>
                  <w:marBottom w:val="0"/>
                  <w:divBdr>
                    <w:top w:val="none" w:sz="0" w:space="0" w:color="auto"/>
                    <w:left w:val="none" w:sz="0" w:space="0" w:color="auto"/>
                    <w:bottom w:val="none" w:sz="0" w:space="0" w:color="auto"/>
                    <w:right w:val="none" w:sz="0" w:space="0" w:color="auto"/>
                  </w:divBdr>
                  <w:divsChild>
                    <w:div w:id="256907014">
                      <w:marLeft w:val="0"/>
                      <w:marRight w:val="0"/>
                      <w:marTop w:val="0"/>
                      <w:marBottom w:val="0"/>
                      <w:divBdr>
                        <w:top w:val="none" w:sz="0" w:space="0" w:color="auto"/>
                        <w:left w:val="none" w:sz="0" w:space="0" w:color="auto"/>
                        <w:bottom w:val="none" w:sz="0" w:space="0" w:color="auto"/>
                        <w:right w:val="none" w:sz="0" w:space="0" w:color="auto"/>
                      </w:divBdr>
                    </w:div>
                  </w:divsChild>
                </w:div>
                <w:div w:id="1881235257">
                  <w:marLeft w:val="0"/>
                  <w:marRight w:val="0"/>
                  <w:marTop w:val="0"/>
                  <w:marBottom w:val="0"/>
                  <w:divBdr>
                    <w:top w:val="none" w:sz="0" w:space="0" w:color="auto"/>
                    <w:left w:val="none" w:sz="0" w:space="0" w:color="auto"/>
                    <w:bottom w:val="none" w:sz="0" w:space="0" w:color="auto"/>
                    <w:right w:val="none" w:sz="0" w:space="0" w:color="auto"/>
                  </w:divBdr>
                  <w:divsChild>
                    <w:div w:id="1971396349">
                      <w:marLeft w:val="0"/>
                      <w:marRight w:val="0"/>
                      <w:marTop w:val="0"/>
                      <w:marBottom w:val="0"/>
                      <w:divBdr>
                        <w:top w:val="none" w:sz="0" w:space="0" w:color="auto"/>
                        <w:left w:val="none" w:sz="0" w:space="0" w:color="auto"/>
                        <w:bottom w:val="none" w:sz="0" w:space="0" w:color="auto"/>
                        <w:right w:val="none" w:sz="0" w:space="0" w:color="auto"/>
                      </w:divBdr>
                    </w:div>
                  </w:divsChild>
                </w:div>
                <w:div w:id="1833138451">
                  <w:marLeft w:val="0"/>
                  <w:marRight w:val="0"/>
                  <w:marTop w:val="0"/>
                  <w:marBottom w:val="0"/>
                  <w:divBdr>
                    <w:top w:val="none" w:sz="0" w:space="0" w:color="auto"/>
                    <w:left w:val="none" w:sz="0" w:space="0" w:color="auto"/>
                    <w:bottom w:val="none" w:sz="0" w:space="0" w:color="auto"/>
                    <w:right w:val="none" w:sz="0" w:space="0" w:color="auto"/>
                  </w:divBdr>
                  <w:divsChild>
                    <w:div w:id="737283506">
                      <w:marLeft w:val="0"/>
                      <w:marRight w:val="0"/>
                      <w:marTop w:val="0"/>
                      <w:marBottom w:val="0"/>
                      <w:divBdr>
                        <w:top w:val="none" w:sz="0" w:space="0" w:color="auto"/>
                        <w:left w:val="none" w:sz="0" w:space="0" w:color="auto"/>
                        <w:bottom w:val="none" w:sz="0" w:space="0" w:color="auto"/>
                        <w:right w:val="none" w:sz="0" w:space="0" w:color="auto"/>
                      </w:divBdr>
                    </w:div>
                  </w:divsChild>
                </w:div>
                <w:div w:id="569391688">
                  <w:marLeft w:val="0"/>
                  <w:marRight w:val="0"/>
                  <w:marTop w:val="0"/>
                  <w:marBottom w:val="0"/>
                  <w:divBdr>
                    <w:top w:val="none" w:sz="0" w:space="0" w:color="auto"/>
                    <w:left w:val="none" w:sz="0" w:space="0" w:color="auto"/>
                    <w:bottom w:val="none" w:sz="0" w:space="0" w:color="auto"/>
                    <w:right w:val="none" w:sz="0" w:space="0" w:color="auto"/>
                  </w:divBdr>
                  <w:divsChild>
                    <w:div w:id="1876188000">
                      <w:marLeft w:val="0"/>
                      <w:marRight w:val="0"/>
                      <w:marTop w:val="0"/>
                      <w:marBottom w:val="0"/>
                      <w:divBdr>
                        <w:top w:val="none" w:sz="0" w:space="0" w:color="auto"/>
                        <w:left w:val="none" w:sz="0" w:space="0" w:color="auto"/>
                        <w:bottom w:val="none" w:sz="0" w:space="0" w:color="auto"/>
                        <w:right w:val="none" w:sz="0" w:space="0" w:color="auto"/>
                      </w:divBdr>
                    </w:div>
                  </w:divsChild>
                </w:div>
                <w:div w:id="1781802631">
                  <w:marLeft w:val="0"/>
                  <w:marRight w:val="0"/>
                  <w:marTop w:val="0"/>
                  <w:marBottom w:val="0"/>
                  <w:divBdr>
                    <w:top w:val="none" w:sz="0" w:space="0" w:color="auto"/>
                    <w:left w:val="none" w:sz="0" w:space="0" w:color="auto"/>
                    <w:bottom w:val="none" w:sz="0" w:space="0" w:color="auto"/>
                    <w:right w:val="none" w:sz="0" w:space="0" w:color="auto"/>
                  </w:divBdr>
                  <w:divsChild>
                    <w:div w:id="2030452643">
                      <w:marLeft w:val="0"/>
                      <w:marRight w:val="0"/>
                      <w:marTop w:val="0"/>
                      <w:marBottom w:val="0"/>
                      <w:divBdr>
                        <w:top w:val="none" w:sz="0" w:space="0" w:color="auto"/>
                        <w:left w:val="none" w:sz="0" w:space="0" w:color="auto"/>
                        <w:bottom w:val="none" w:sz="0" w:space="0" w:color="auto"/>
                        <w:right w:val="none" w:sz="0" w:space="0" w:color="auto"/>
                      </w:divBdr>
                    </w:div>
                  </w:divsChild>
                </w:div>
                <w:div w:id="935333247">
                  <w:marLeft w:val="0"/>
                  <w:marRight w:val="0"/>
                  <w:marTop w:val="0"/>
                  <w:marBottom w:val="0"/>
                  <w:divBdr>
                    <w:top w:val="none" w:sz="0" w:space="0" w:color="auto"/>
                    <w:left w:val="none" w:sz="0" w:space="0" w:color="auto"/>
                    <w:bottom w:val="none" w:sz="0" w:space="0" w:color="auto"/>
                    <w:right w:val="none" w:sz="0" w:space="0" w:color="auto"/>
                  </w:divBdr>
                  <w:divsChild>
                    <w:div w:id="777872012">
                      <w:marLeft w:val="0"/>
                      <w:marRight w:val="0"/>
                      <w:marTop w:val="0"/>
                      <w:marBottom w:val="0"/>
                      <w:divBdr>
                        <w:top w:val="none" w:sz="0" w:space="0" w:color="auto"/>
                        <w:left w:val="none" w:sz="0" w:space="0" w:color="auto"/>
                        <w:bottom w:val="none" w:sz="0" w:space="0" w:color="auto"/>
                        <w:right w:val="none" w:sz="0" w:space="0" w:color="auto"/>
                      </w:divBdr>
                    </w:div>
                  </w:divsChild>
                </w:div>
                <w:div w:id="948006765">
                  <w:marLeft w:val="0"/>
                  <w:marRight w:val="0"/>
                  <w:marTop w:val="0"/>
                  <w:marBottom w:val="0"/>
                  <w:divBdr>
                    <w:top w:val="none" w:sz="0" w:space="0" w:color="auto"/>
                    <w:left w:val="none" w:sz="0" w:space="0" w:color="auto"/>
                    <w:bottom w:val="none" w:sz="0" w:space="0" w:color="auto"/>
                    <w:right w:val="none" w:sz="0" w:space="0" w:color="auto"/>
                  </w:divBdr>
                  <w:divsChild>
                    <w:div w:id="1420787088">
                      <w:marLeft w:val="0"/>
                      <w:marRight w:val="0"/>
                      <w:marTop w:val="0"/>
                      <w:marBottom w:val="0"/>
                      <w:divBdr>
                        <w:top w:val="none" w:sz="0" w:space="0" w:color="auto"/>
                        <w:left w:val="none" w:sz="0" w:space="0" w:color="auto"/>
                        <w:bottom w:val="none" w:sz="0" w:space="0" w:color="auto"/>
                        <w:right w:val="none" w:sz="0" w:space="0" w:color="auto"/>
                      </w:divBdr>
                    </w:div>
                  </w:divsChild>
                </w:div>
                <w:div w:id="782459084">
                  <w:marLeft w:val="0"/>
                  <w:marRight w:val="0"/>
                  <w:marTop w:val="0"/>
                  <w:marBottom w:val="0"/>
                  <w:divBdr>
                    <w:top w:val="none" w:sz="0" w:space="0" w:color="auto"/>
                    <w:left w:val="none" w:sz="0" w:space="0" w:color="auto"/>
                    <w:bottom w:val="none" w:sz="0" w:space="0" w:color="auto"/>
                    <w:right w:val="none" w:sz="0" w:space="0" w:color="auto"/>
                  </w:divBdr>
                  <w:divsChild>
                    <w:div w:id="1357581207">
                      <w:marLeft w:val="0"/>
                      <w:marRight w:val="0"/>
                      <w:marTop w:val="0"/>
                      <w:marBottom w:val="0"/>
                      <w:divBdr>
                        <w:top w:val="none" w:sz="0" w:space="0" w:color="auto"/>
                        <w:left w:val="none" w:sz="0" w:space="0" w:color="auto"/>
                        <w:bottom w:val="none" w:sz="0" w:space="0" w:color="auto"/>
                        <w:right w:val="none" w:sz="0" w:space="0" w:color="auto"/>
                      </w:divBdr>
                    </w:div>
                  </w:divsChild>
                </w:div>
                <w:div w:id="1284189300">
                  <w:marLeft w:val="0"/>
                  <w:marRight w:val="0"/>
                  <w:marTop w:val="0"/>
                  <w:marBottom w:val="0"/>
                  <w:divBdr>
                    <w:top w:val="none" w:sz="0" w:space="0" w:color="auto"/>
                    <w:left w:val="none" w:sz="0" w:space="0" w:color="auto"/>
                    <w:bottom w:val="none" w:sz="0" w:space="0" w:color="auto"/>
                    <w:right w:val="none" w:sz="0" w:space="0" w:color="auto"/>
                  </w:divBdr>
                  <w:divsChild>
                    <w:div w:id="243685638">
                      <w:marLeft w:val="0"/>
                      <w:marRight w:val="0"/>
                      <w:marTop w:val="0"/>
                      <w:marBottom w:val="0"/>
                      <w:divBdr>
                        <w:top w:val="none" w:sz="0" w:space="0" w:color="auto"/>
                        <w:left w:val="none" w:sz="0" w:space="0" w:color="auto"/>
                        <w:bottom w:val="none" w:sz="0" w:space="0" w:color="auto"/>
                        <w:right w:val="none" w:sz="0" w:space="0" w:color="auto"/>
                      </w:divBdr>
                    </w:div>
                  </w:divsChild>
                </w:div>
                <w:div w:id="1978876025">
                  <w:marLeft w:val="0"/>
                  <w:marRight w:val="0"/>
                  <w:marTop w:val="0"/>
                  <w:marBottom w:val="0"/>
                  <w:divBdr>
                    <w:top w:val="none" w:sz="0" w:space="0" w:color="auto"/>
                    <w:left w:val="none" w:sz="0" w:space="0" w:color="auto"/>
                    <w:bottom w:val="none" w:sz="0" w:space="0" w:color="auto"/>
                    <w:right w:val="none" w:sz="0" w:space="0" w:color="auto"/>
                  </w:divBdr>
                  <w:divsChild>
                    <w:div w:id="1856728241">
                      <w:marLeft w:val="0"/>
                      <w:marRight w:val="0"/>
                      <w:marTop w:val="0"/>
                      <w:marBottom w:val="0"/>
                      <w:divBdr>
                        <w:top w:val="none" w:sz="0" w:space="0" w:color="auto"/>
                        <w:left w:val="none" w:sz="0" w:space="0" w:color="auto"/>
                        <w:bottom w:val="none" w:sz="0" w:space="0" w:color="auto"/>
                        <w:right w:val="none" w:sz="0" w:space="0" w:color="auto"/>
                      </w:divBdr>
                    </w:div>
                  </w:divsChild>
                </w:div>
                <w:div w:id="308287386">
                  <w:marLeft w:val="0"/>
                  <w:marRight w:val="0"/>
                  <w:marTop w:val="0"/>
                  <w:marBottom w:val="0"/>
                  <w:divBdr>
                    <w:top w:val="none" w:sz="0" w:space="0" w:color="auto"/>
                    <w:left w:val="none" w:sz="0" w:space="0" w:color="auto"/>
                    <w:bottom w:val="none" w:sz="0" w:space="0" w:color="auto"/>
                    <w:right w:val="none" w:sz="0" w:space="0" w:color="auto"/>
                  </w:divBdr>
                  <w:divsChild>
                    <w:div w:id="2035882416">
                      <w:marLeft w:val="0"/>
                      <w:marRight w:val="0"/>
                      <w:marTop w:val="0"/>
                      <w:marBottom w:val="0"/>
                      <w:divBdr>
                        <w:top w:val="none" w:sz="0" w:space="0" w:color="auto"/>
                        <w:left w:val="none" w:sz="0" w:space="0" w:color="auto"/>
                        <w:bottom w:val="none" w:sz="0" w:space="0" w:color="auto"/>
                        <w:right w:val="none" w:sz="0" w:space="0" w:color="auto"/>
                      </w:divBdr>
                    </w:div>
                  </w:divsChild>
                </w:div>
                <w:div w:id="725883170">
                  <w:marLeft w:val="0"/>
                  <w:marRight w:val="0"/>
                  <w:marTop w:val="0"/>
                  <w:marBottom w:val="0"/>
                  <w:divBdr>
                    <w:top w:val="none" w:sz="0" w:space="0" w:color="auto"/>
                    <w:left w:val="none" w:sz="0" w:space="0" w:color="auto"/>
                    <w:bottom w:val="none" w:sz="0" w:space="0" w:color="auto"/>
                    <w:right w:val="none" w:sz="0" w:space="0" w:color="auto"/>
                  </w:divBdr>
                  <w:divsChild>
                    <w:div w:id="1880430194">
                      <w:marLeft w:val="0"/>
                      <w:marRight w:val="0"/>
                      <w:marTop w:val="0"/>
                      <w:marBottom w:val="0"/>
                      <w:divBdr>
                        <w:top w:val="none" w:sz="0" w:space="0" w:color="auto"/>
                        <w:left w:val="none" w:sz="0" w:space="0" w:color="auto"/>
                        <w:bottom w:val="none" w:sz="0" w:space="0" w:color="auto"/>
                        <w:right w:val="none" w:sz="0" w:space="0" w:color="auto"/>
                      </w:divBdr>
                    </w:div>
                  </w:divsChild>
                </w:div>
                <w:div w:id="645933839">
                  <w:marLeft w:val="0"/>
                  <w:marRight w:val="0"/>
                  <w:marTop w:val="0"/>
                  <w:marBottom w:val="0"/>
                  <w:divBdr>
                    <w:top w:val="none" w:sz="0" w:space="0" w:color="auto"/>
                    <w:left w:val="none" w:sz="0" w:space="0" w:color="auto"/>
                    <w:bottom w:val="none" w:sz="0" w:space="0" w:color="auto"/>
                    <w:right w:val="none" w:sz="0" w:space="0" w:color="auto"/>
                  </w:divBdr>
                  <w:divsChild>
                    <w:div w:id="967854389">
                      <w:marLeft w:val="0"/>
                      <w:marRight w:val="0"/>
                      <w:marTop w:val="0"/>
                      <w:marBottom w:val="0"/>
                      <w:divBdr>
                        <w:top w:val="none" w:sz="0" w:space="0" w:color="auto"/>
                        <w:left w:val="none" w:sz="0" w:space="0" w:color="auto"/>
                        <w:bottom w:val="none" w:sz="0" w:space="0" w:color="auto"/>
                        <w:right w:val="none" w:sz="0" w:space="0" w:color="auto"/>
                      </w:divBdr>
                    </w:div>
                  </w:divsChild>
                </w:div>
                <w:div w:id="1907842072">
                  <w:marLeft w:val="0"/>
                  <w:marRight w:val="0"/>
                  <w:marTop w:val="0"/>
                  <w:marBottom w:val="0"/>
                  <w:divBdr>
                    <w:top w:val="none" w:sz="0" w:space="0" w:color="auto"/>
                    <w:left w:val="none" w:sz="0" w:space="0" w:color="auto"/>
                    <w:bottom w:val="none" w:sz="0" w:space="0" w:color="auto"/>
                    <w:right w:val="none" w:sz="0" w:space="0" w:color="auto"/>
                  </w:divBdr>
                  <w:divsChild>
                    <w:div w:id="1706714475">
                      <w:marLeft w:val="0"/>
                      <w:marRight w:val="0"/>
                      <w:marTop w:val="0"/>
                      <w:marBottom w:val="0"/>
                      <w:divBdr>
                        <w:top w:val="none" w:sz="0" w:space="0" w:color="auto"/>
                        <w:left w:val="none" w:sz="0" w:space="0" w:color="auto"/>
                        <w:bottom w:val="none" w:sz="0" w:space="0" w:color="auto"/>
                        <w:right w:val="none" w:sz="0" w:space="0" w:color="auto"/>
                      </w:divBdr>
                    </w:div>
                  </w:divsChild>
                </w:div>
                <w:div w:id="875893771">
                  <w:marLeft w:val="0"/>
                  <w:marRight w:val="0"/>
                  <w:marTop w:val="0"/>
                  <w:marBottom w:val="0"/>
                  <w:divBdr>
                    <w:top w:val="none" w:sz="0" w:space="0" w:color="auto"/>
                    <w:left w:val="none" w:sz="0" w:space="0" w:color="auto"/>
                    <w:bottom w:val="none" w:sz="0" w:space="0" w:color="auto"/>
                    <w:right w:val="none" w:sz="0" w:space="0" w:color="auto"/>
                  </w:divBdr>
                  <w:divsChild>
                    <w:div w:id="907375071">
                      <w:marLeft w:val="0"/>
                      <w:marRight w:val="0"/>
                      <w:marTop w:val="0"/>
                      <w:marBottom w:val="0"/>
                      <w:divBdr>
                        <w:top w:val="none" w:sz="0" w:space="0" w:color="auto"/>
                        <w:left w:val="none" w:sz="0" w:space="0" w:color="auto"/>
                        <w:bottom w:val="none" w:sz="0" w:space="0" w:color="auto"/>
                        <w:right w:val="none" w:sz="0" w:space="0" w:color="auto"/>
                      </w:divBdr>
                    </w:div>
                  </w:divsChild>
                </w:div>
                <w:div w:id="1433745563">
                  <w:marLeft w:val="0"/>
                  <w:marRight w:val="0"/>
                  <w:marTop w:val="0"/>
                  <w:marBottom w:val="0"/>
                  <w:divBdr>
                    <w:top w:val="none" w:sz="0" w:space="0" w:color="auto"/>
                    <w:left w:val="none" w:sz="0" w:space="0" w:color="auto"/>
                    <w:bottom w:val="none" w:sz="0" w:space="0" w:color="auto"/>
                    <w:right w:val="none" w:sz="0" w:space="0" w:color="auto"/>
                  </w:divBdr>
                  <w:divsChild>
                    <w:div w:id="2029404504">
                      <w:marLeft w:val="0"/>
                      <w:marRight w:val="0"/>
                      <w:marTop w:val="0"/>
                      <w:marBottom w:val="0"/>
                      <w:divBdr>
                        <w:top w:val="none" w:sz="0" w:space="0" w:color="auto"/>
                        <w:left w:val="none" w:sz="0" w:space="0" w:color="auto"/>
                        <w:bottom w:val="none" w:sz="0" w:space="0" w:color="auto"/>
                        <w:right w:val="none" w:sz="0" w:space="0" w:color="auto"/>
                      </w:divBdr>
                    </w:div>
                  </w:divsChild>
                </w:div>
                <w:div w:id="1423843133">
                  <w:marLeft w:val="0"/>
                  <w:marRight w:val="0"/>
                  <w:marTop w:val="0"/>
                  <w:marBottom w:val="0"/>
                  <w:divBdr>
                    <w:top w:val="none" w:sz="0" w:space="0" w:color="auto"/>
                    <w:left w:val="none" w:sz="0" w:space="0" w:color="auto"/>
                    <w:bottom w:val="none" w:sz="0" w:space="0" w:color="auto"/>
                    <w:right w:val="none" w:sz="0" w:space="0" w:color="auto"/>
                  </w:divBdr>
                  <w:divsChild>
                    <w:div w:id="568460344">
                      <w:marLeft w:val="0"/>
                      <w:marRight w:val="0"/>
                      <w:marTop w:val="0"/>
                      <w:marBottom w:val="0"/>
                      <w:divBdr>
                        <w:top w:val="none" w:sz="0" w:space="0" w:color="auto"/>
                        <w:left w:val="none" w:sz="0" w:space="0" w:color="auto"/>
                        <w:bottom w:val="none" w:sz="0" w:space="0" w:color="auto"/>
                        <w:right w:val="none" w:sz="0" w:space="0" w:color="auto"/>
                      </w:divBdr>
                    </w:div>
                  </w:divsChild>
                </w:div>
                <w:div w:id="871846528">
                  <w:marLeft w:val="0"/>
                  <w:marRight w:val="0"/>
                  <w:marTop w:val="0"/>
                  <w:marBottom w:val="0"/>
                  <w:divBdr>
                    <w:top w:val="none" w:sz="0" w:space="0" w:color="auto"/>
                    <w:left w:val="none" w:sz="0" w:space="0" w:color="auto"/>
                    <w:bottom w:val="none" w:sz="0" w:space="0" w:color="auto"/>
                    <w:right w:val="none" w:sz="0" w:space="0" w:color="auto"/>
                  </w:divBdr>
                  <w:divsChild>
                    <w:div w:id="1919094272">
                      <w:marLeft w:val="0"/>
                      <w:marRight w:val="0"/>
                      <w:marTop w:val="0"/>
                      <w:marBottom w:val="0"/>
                      <w:divBdr>
                        <w:top w:val="none" w:sz="0" w:space="0" w:color="auto"/>
                        <w:left w:val="none" w:sz="0" w:space="0" w:color="auto"/>
                        <w:bottom w:val="none" w:sz="0" w:space="0" w:color="auto"/>
                        <w:right w:val="none" w:sz="0" w:space="0" w:color="auto"/>
                      </w:divBdr>
                    </w:div>
                  </w:divsChild>
                </w:div>
                <w:div w:id="1779913968">
                  <w:marLeft w:val="0"/>
                  <w:marRight w:val="0"/>
                  <w:marTop w:val="0"/>
                  <w:marBottom w:val="0"/>
                  <w:divBdr>
                    <w:top w:val="none" w:sz="0" w:space="0" w:color="auto"/>
                    <w:left w:val="none" w:sz="0" w:space="0" w:color="auto"/>
                    <w:bottom w:val="none" w:sz="0" w:space="0" w:color="auto"/>
                    <w:right w:val="none" w:sz="0" w:space="0" w:color="auto"/>
                  </w:divBdr>
                  <w:divsChild>
                    <w:div w:id="655184467">
                      <w:marLeft w:val="0"/>
                      <w:marRight w:val="0"/>
                      <w:marTop w:val="0"/>
                      <w:marBottom w:val="0"/>
                      <w:divBdr>
                        <w:top w:val="none" w:sz="0" w:space="0" w:color="auto"/>
                        <w:left w:val="none" w:sz="0" w:space="0" w:color="auto"/>
                        <w:bottom w:val="none" w:sz="0" w:space="0" w:color="auto"/>
                        <w:right w:val="none" w:sz="0" w:space="0" w:color="auto"/>
                      </w:divBdr>
                    </w:div>
                  </w:divsChild>
                </w:div>
                <w:div w:id="1277323620">
                  <w:marLeft w:val="0"/>
                  <w:marRight w:val="0"/>
                  <w:marTop w:val="0"/>
                  <w:marBottom w:val="0"/>
                  <w:divBdr>
                    <w:top w:val="none" w:sz="0" w:space="0" w:color="auto"/>
                    <w:left w:val="none" w:sz="0" w:space="0" w:color="auto"/>
                    <w:bottom w:val="none" w:sz="0" w:space="0" w:color="auto"/>
                    <w:right w:val="none" w:sz="0" w:space="0" w:color="auto"/>
                  </w:divBdr>
                  <w:divsChild>
                    <w:div w:id="751271116">
                      <w:marLeft w:val="0"/>
                      <w:marRight w:val="0"/>
                      <w:marTop w:val="0"/>
                      <w:marBottom w:val="0"/>
                      <w:divBdr>
                        <w:top w:val="none" w:sz="0" w:space="0" w:color="auto"/>
                        <w:left w:val="none" w:sz="0" w:space="0" w:color="auto"/>
                        <w:bottom w:val="none" w:sz="0" w:space="0" w:color="auto"/>
                        <w:right w:val="none" w:sz="0" w:space="0" w:color="auto"/>
                      </w:divBdr>
                    </w:div>
                  </w:divsChild>
                </w:div>
                <w:div w:id="1435250133">
                  <w:marLeft w:val="0"/>
                  <w:marRight w:val="0"/>
                  <w:marTop w:val="0"/>
                  <w:marBottom w:val="0"/>
                  <w:divBdr>
                    <w:top w:val="none" w:sz="0" w:space="0" w:color="auto"/>
                    <w:left w:val="none" w:sz="0" w:space="0" w:color="auto"/>
                    <w:bottom w:val="none" w:sz="0" w:space="0" w:color="auto"/>
                    <w:right w:val="none" w:sz="0" w:space="0" w:color="auto"/>
                  </w:divBdr>
                  <w:divsChild>
                    <w:div w:id="1517886848">
                      <w:marLeft w:val="0"/>
                      <w:marRight w:val="0"/>
                      <w:marTop w:val="0"/>
                      <w:marBottom w:val="0"/>
                      <w:divBdr>
                        <w:top w:val="none" w:sz="0" w:space="0" w:color="auto"/>
                        <w:left w:val="none" w:sz="0" w:space="0" w:color="auto"/>
                        <w:bottom w:val="none" w:sz="0" w:space="0" w:color="auto"/>
                        <w:right w:val="none" w:sz="0" w:space="0" w:color="auto"/>
                      </w:divBdr>
                    </w:div>
                  </w:divsChild>
                </w:div>
                <w:div w:id="2063433699">
                  <w:marLeft w:val="0"/>
                  <w:marRight w:val="0"/>
                  <w:marTop w:val="0"/>
                  <w:marBottom w:val="0"/>
                  <w:divBdr>
                    <w:top w:val="none" w:sz="0" w:space="0" w:color="auto"/>
                    <w:left w:val="none" w:sz="0" w:space="0" w:color="auto"/>
                    <w:bottom w:val="none" w:sz="0" w:space="0" w:color="auto"/>
                    <w:right w:val="none" w:sz="0" w:space="0" w:color="auto"/>
                  </w:divBdr>
                  <w:divsChild>
                    <w:div w:id="1394083787">
                      <w:marLeft w:val="0"/>
                      <w:marRight w:val="0"/>
                      <w:marTop w:val="0"/>
                      <w:marBottom w:val="0"/>
                      <w:divBdr>
                        <w:top w:val="none" w:sz="0" w:space="0" w:color="auto"/>
                        <w:left w:val="none" w:sz="0" w:space="0" w:color="auto"/>
                        <w:bottom w:val="none" w:sz="0" w:space="0" w:color="auto"/>
                        <w:right w:val="none" w:sz="0" w:space="0" w:color="auto"/>
                      </w:divBdr>
                    </w:div>
                  </w:divsChild>
                </w:div>
                <w:div w:id="1640724468">
                  <w:marLeft w:val="0"/>
                  <w:marRight w:val="0"/>
                  <w:marTop w:val="0"/>
                  <w:marBottom w:val="0"/>
                  <w:divBdr>
                    <w:top w:val="none" w:sz="0" w:space="0" w:color="auto"/>
                    <w:left w:val="none" w:sz="0" w:space="0" w:color="auto"/>
                    <w:bottom w:val="none" w:sz="0" w:space="0" w:color="auto"/>
                    <w:right w:val="none" w:sz="0" w:space="0" w:color="auto"/>
                  </w:divBdr>
                  <w:divsChild>
                    <w:div w:id="1587763269">
                      <w:marLeft w:val="0"/>
                      <w:marRight w:val="0"/>
                      <w:marTop w:val="0"/>
                      <w:marBottom w:val="0"/>
                      <w:divBdr>
                        <w:top w:val="none" w:sz="0" w:space="0" w:color="auto"/>
                        <w:left w:val="none" w:sz="0" w:space="0" w:color="auto"/>
                        <w:bottom w:val="none" w:sz="0" w:space="0" w:color="auto"/>
                        <w:right w:val="none" w:sz="0" w:space="0" w:color="auto"/>
                      </w:divBdr>
                    </w:div>
                  </w:divsChild>
                </w:div>
                <w:div w:id="284164634">
                  <w:marLeft w:val="0"/>
                  <w:marRight w:val="0"/>
                  <w:marTop w:val="0"/>
                  <w:marBottom w:val="0"/>
                  <w:divBdr>
                    <w:top w:val="none" w:sz="0" w:space="0" w:color="auto"/>
                    <w:left w:val="none" w:sz="0" w:space="0" w:color="auto"/>
                    <w:bottom w:val="none" w:sz="0" w:space="0" w:color="auto"/>
                    <w:right w:val="none" w:sz="0" w:space="0" w:color="auto"/>
                  </w:divBdr>
                  <w:divsChild>
                    <w:div w:id="1714689610">
                      <w:marLeft w:val="0"/>
                      <w:marRight w:val="0"/>
                      <w:marTop w:val="0"/>
                      <w:marBottom w:val="0"/>
                      <w:divBdr>
                        <w:top w:val="none" w:sz="0" w:space="0" w:color="auto"/>
                        <w:left w:val="none" w:sz="0" w:space="0" w:color="auto"/>
                        <w:bottom w:val="none" w:sz="0" w:space="0" w:color="auto"/>
                        <w:right w:val="none" w:sz="0" w:space="0" w:color="auto"/>
                      </w:divBdr>
                    </w:div>
                  </w:divsChild>
                </w:div>
                <w:div w:id="1804540490">
                  <w:marLeft w:val="0"/>
                  <w:marRight w:val="0"/>
                  <w:marTop w:val="0"/>
                  <w:marBottom w:val="0"/>
                  <w:divBdr>
                    <w:top w:val="none" w:sz="0" w:space="0" w:color="auto"/>
                    <w:left w:val="none" w:sz="0" w:space="0" w:color="auto"/>
                    <w:bottom w:val="none" w:sz="0" w:space="0" w:color="auto"/>
                    <w:right w:val="none" w:sz="0" w:space="0" w:color="auto"/>
                  </w:divBdr>
                  <w:divsChild>
                    <w:div w:id="387532995">
                      <w:marLeft w:val="0"/>
                      <w:marRight w:val="0"/>
                      <w:marTop w:val="0"/>
                      <w:marBottom w:val="0"/>
                      <w:divBdr>
                        <w:top w:val="none" w:sz="0" w:space="0" w:color="auto"/>
                        <w:left w:val="none" w:sz="0" w:space="0" w:color="auto"/>
                        <w:bottom w:val="none" w:sz="0" w:space="0" w:color="auto"/>
                        <w:right w:val="none" w:sz="0" w:space="0" w:color="auto"/>
                      </w:divBdr>
                    </w:div>
                  </w:divsChild>
                </w:div>
                <w:div w:id="1590114559">
                  <w:marLeft w:val="0"/>
                  <w:marRight w:val="0"/>
                  <w:marTop w:val="0"/>
                  <w:marBottom w:val="0"/>
                  <w:divBdr>
                    <w:top w:val="none" w:sz="0" w:space="0" w:color="auto"/>
                    <w:left w:val="none" w:sz="0" w:space="0" w:color="auto"/>
                    <w:bottom w:val="none" w:sz="0" w:space="0" w:color="auto"/>
                    <w:right w:val="none" w:sz="0" w:space="0" w:color="auto"/>
                  </w:divBdr>
                  <w:divsChild>
                    <w:div w:id="594291060">
                      <w:marLeft w:val="0"/>
                      <w:marRight w:val="0"/>
                      <w:marTop w:val="0"/>
                      <w:marBottom w:val="0"/>
                      <w:divBdr>
                        <w:top w:val="none" w:sz="0" w:space="0" w:color="auto"/>
                        <w:left w:val="none" w:sz="0" w:space="0" w:color="auto"/>
                        <w:bottom w:val="none" w:sz="0" w:space="0" w:color="auto"/>
                        <w:right w:val="none" w:sz="0" w:space="0" w:color="auto"/>
                      </w:divBdr>
                    </w:div>
                  </w:divsChild>
                </w:div>
                <w:div w:id="872687730">
                  <w:marLeft w:val="0"/>
                  <w:marRight w:val="0"/>
                  <w:marTop w:val="0"/>
                  <w:marBottom w:val="0"/>
                  <w:divBdr>
                    <w:top w:val="none" w:sz="0" w:space="0" w:color="auto"/>
                    <w:left w:val="none" w:sz="0" w:space="0" w:color="auto"/>
                    <w:bottom w:val="none" w:sz="0" w:space="0" w:color="auto"/>
                    <w:right w:val="none" w:sz="0" w:space="0" w:color="auto"/>
                  </w:divBdr>
                  <w:divsChild>
                    <w:div w:id="820850069">
                      <w:marLeft w:val="0"/>
                      <w:marRight w:val="0"/>
                      <w:marTop w:val="0"/>
                      <w:marBottom w:val="0"/>
                      <w:divBdr>
                        <w:top w:val="none" w:sz="0" w:space="0" w:color="auto"/>
                        <w:left w:val="none" w:sz="0" w:space="0" w:color="auto"/>
                        <w:bottom w:val="none" w:sz="0" w:space="0" w:color="auto"/>
                        <w:right w:val="none" w:sz="0" w:space="0" w:color="auto"/>
                      </w:divBdr>
                    </w:div>
                  </w:divsChild>
                </w:div>
                <w:div w:id="1100562636">
                  <w:marLeft w:val="0"/>
                  <w:marRight w:val="0"/>
                  <w:marTop w:val="0"/>
                  <w:marBottom w:val="0"/>
                  <w:divBdr>
                    <w:top w:val="none" w:sz="0" w:space="0" w:color="auto"/>
                    <w:left w:val="none" w:sz="0" w:space="0" w:color="auto"/>
                    <w:bottom w:val="none" w:sz="0" w:space="0" w:color="auto"/>
                    <w:right w:val="none" w:sz="0" w:space="0" w:color="auto"/>
                  </w:divBdr>
                  <w:divsChild>
                    <w:div w:id="775758272">
                      <w:marLeft w:val="0"/>
                      <w:marRight w:val="0"/>
                      <w:marTop w:val="0"/>
                      <w:marBottom w:val="0"/>
                      <w:divBdr>
                        <w:top w:val="none" w:sz="0" w:space="0" w:color="auto"/>
                        <w:left w:val="none" w:sz="0" w:space="0" w:color="auto"/>
                        <w:bottom w:val="none" w:sz="0" w:space="0" w:color="auto"/>
                        <w:right w:val="none" w:sz="0" w:space="0" w:color="auto"/>
                      </w:divBdr>
                    </w:div>
                  </w:divsChild>
                </w:div>
                <w:div w:id="3872502">
                  <w:marLeft w:val="0"/>
                  <w:marRight w:val="0"/>
                  <w:marTop w:val="0"/>
                  <w:marBottom w:val="0"/>
                  <w:divBdr>
                    <w:top w:val="none" w:sz="0" w:space="0" w:color="auto"/>
                    <w:left w:val="none" w:sz="0" w:space="0" w:color="auto"/>
                    <w:bottom w:val="none" w:sz="0" w:space="0" w:color="auto"/>
                    <w:right w:val="none" w:sz="0" w:space="0" w:color="auto"/>
                  </w:divBdr>
                  <w:divsChild>
                    <w:div w:id="1719939789">
                      <w:marLeft w:val="0"/>
                      <w:marRight w:val="0"/>
                      <w:marTop w:val="0"/>
                      <w:marBottom w:val="0"/>
                      <w:divBdr>
                        <w:top w:val="none" w:sz="0" w:space="0" w:color="auto"/>
                        <w:left w:val="none" w:sz="0" w:space="0" w:color="auto"/>
                        <w:bottom w:val="none" w:sz="0" w:space="0" w:color="auto"/>
                        <w:right w:val="none" w:sz="0" w:space="0" w:color="auto"/>
                      </w:divBdr>
                    </w:div>
                  </w:divsChild>
                </w:div>
                <w:div w:id="248197909">
                  <w:marLeft w:val="0"/>
                  <w:marRight w:val="0"/>
                  <w:marTop w:val="0"/>
                  <w:marBottom w:val="0"/>
                  <w:divBdr>
                    <w:top w:val="none" w:sz="0" w:space="0" w:color="auto"/>
                    <w:left w:val="none" w:sz="0" w:space="0" w:color="auto"/>
                    <w:bottom w:val="none" w:sz="0" w:space="0" w:color="auto"/>
                    <w:right w:val="none" w:sz="0" w:space="0" w:color="auto"/>
                  </w:divBdr>
                  <w:divsChild>
                    <w:div w:id="2055536680">
                      <w:marLeft w:val="0"/>
                      <w:marRight w:val="0"/>
                      <w:marTop w:val="0"/>
                      <w:marBottom w:val="0"/>
                      <w:divBdr>
                        <w:top w:val="none" w:sz="0" w:space="0" w:color="auto"/>
                        <w:left w:val="none" w:sz="0" w:space="0" w:color="auto"/>
                        <w:bottom w:val="none" w:sz="0" w:space="0" w:color="auto"/>
                        <w:right w:val="none" w:sz="0" w:space="0" w:color="auto"/>
                      </w:divBdr>
                    </w:div>
                  </w:divsChild>
                </w:div>
                <w:div w:id="258879049">
                  <w:marLeft w:val="0"/>
                  <w:marRight w:val="0"/>
                  <w:marTop w:val="0"/>
                  <w:marBottom w:val="0"/>
                  <w:divBdr>
                    <w:top w:val="none" w:sz="0" w:space="0" w:color="auto"/>
                    <w:left w:val="none" w:sz="0" w:space="0" w:color="auto"/>
                    <w:bottom w:val="none" w:sz="0" w:space="0" w:color="auto"/>
                    <w:right w:val="none" w:sz="0" w:space="0" w:color="auto"/>
                  </w:divBdr>
                  <w:divsChild>
                    <w:div w:id="1401563156">
                      <w:marLeft w:val="0"/>
                      <w:marRight w:val="0"/>
                      <w:marTop w:val="0"/>
                      <w:marBottom w:val="0"/>
                      <w:divBdr>
                        <w:top w:val="none" w:sz="0" w:space="0" w:color="auto"/>
                        <w:left w:val="none" w:sz="0" w:space="0" w:color="auto"/>
                        <w:bottom w:val="none" w:sz="0" w:space="0" w:color="auto"/>
                        <w:right w:val="none" w:sz="0" w:space="0" w:color="auto"/>
                      </w:divBdr>
                    </w:div>
                  </w:divsChild>
                </w:div>
                <w:div w:id="1275216061">
                  <w:marLeft w:val="0"/>
                  <w:marRight w:val="0"/>
                  <w:marTop w:val="0"/>
                  <w:marBottom w:val="0"/>
                  <w:divBdr>
                    <w:top w:val="none" w:sz="0" w:space="0" w:color="auto"/>
                    <w:left w:val="none" w:sz="0" w:space="0" w:color="auto"/>
                    <w:bottom w:val="none" w:sz="0" w:space="0" w:color="auto"/>
                    <w:right w:val="none" w:sz="0" w:space="0" w:color="auto"/>
                  </w:divBdr>
                  <w:divsChild>
                    <w:div w:id="806095261">
                      <w:marLeft w:val="0"/>
                      <w:marRight w:val="0"/>
                      <w:marTop w:val="0"/>
                      <w:marBottom w:val="0"/>
                      <w:divBdr>
                        <w:top w:val="none" w:sz="0" w:space="0" w:color="auto"/>
                        <w:left w:val="none" w:sz="0" w:space="0" w:color="auto"/>
                        <w:bottom w:val="none" w:sz="0" w:space="0" w:color="auto"/>
                        <w:right w:val="none" w:sz="0" w:space="0" w:color="auto"/>
                      </w:divBdr>
                    </w:div>
                  </w:divsChild>
                </w:div>
                <w:div w:id="1589188967">
                  <w:marLeft w:val="0"/>
                  <w:marRight w:val="0"/>
                  <w:marTop w:val="0"/>
                  <w:marBottom w:val="0"/>
                  <w:divBdr>
                    <w:top w:val="none" w:sz="0" w:space="0" w:color="auto"/>
                    <w:left w:val="none" w:sz="0" w:space="0" w:color="auto"/>
                    <w:bottom w:val="none" w:sz="0" w:space="0" w:color="auto"/>
                    <w:right w:val="none" w:sz="0" w:space="0" w:color="auto"/>
                  </w:divBdr>
                  <w:divsChild>
                    <w:div w:id="988676879">
                      <w:marLeft w:val="0"/>
                      <w:marRight w:val="0"/>
                      <w:marTop w:val="0"/>
                      <w:marBottom w:val="0"/>
                      <w:divBdr>
                        <w:top w:val="none" w:sz="0" w:space="0" w:color="auto"/>
                        <w:left w:val="none" w:sz="0" w:space="0" w:color="auto"/>
                        <w:bottom w:val="none" w:sz="0" w:space="0" w:color="auto"/>
                        <w:right w:val="none" w:sz="0" w:space="0" w:color="auto"/>
                      </w:divBdr>
                    </w:div>
                  </w:divsChild>
                </w:div>
                <w:div w:id="850679655">
                  <w:marLeft w:val="0"/>
                  <w:marRight w:val="0"/>
                  <w:marTop w:val="0"/>
                  <w:marBottom w:val="0"/>
                  <w:divBdr>
                    <w:top w:val="none" w:sz="0" w:space="0" w:color="auto"/>
                    <w:left w:val="none" w:sz="0" w:space="0" w:color="auto"/>
                    <w:bottom w:val="none" w:sz="0" w:space="0" w:color="auto"/>
                    <w:right w:val="none" w:sz="0" w:space="0" w:color="auto"/>
                  </w:divBdr>
                  <w:divsChild>
                    <w:div w:id="171533917">
                      <w:marLeft w:val="0"/>
                      <w:marRight w:val="0"/>
                      <w:marTop w:val="0"/>
                      <w:marBottom w:val="0"/>
                      <w:divBdr>
                        <w:top w:val="none" w:sz="0" w:space="0" w:color="auto"/>
                        <w:left w:val="none" w:sz="0" w:space="0" w:color="auto"/>
                        <w:bottom w:val="none" w:sz="0" w:space="0" w:color="auto"/>
                        <w:right w:val="none" w:sz="0" w:space="0" w:color="auto"/>
                      </w:divBdr>
                    </w:div>
                  </w:divsChild>
                </w:div>
                <w:div w:id="576862124">
                  <w:marLeft w:val="0"/>
                  <w:marRight w:val="0"/>
                  <w:marTop w:val="0"/>
                  <w:marBottom w:val="0"/>
                  <w:divBdr>
                    <w:top w:val="none" w:sz="0" w:space="0" w:color="auto"/>
                    <w:left w:val="none" w:sz="0" w:space="0" w:color="auto"/>
                    <w:bottom w:val="none" w:sz="0" w:space="0" w:color="auto"/>
                    <w:right w:val="none" w:sz="0" w:space="0" w:color="auto"/>
                  </w:divBdr>
                  <w:divsChild>
                    <w:div w:id="917443419">
                      <w:marLeft w:val="0"/>
                      <w:marRight w:val="0"/>
                      <w:marTop w:val="0"/>
                      <w:marBottom w:val="0"/>
                      <w:divBdr>
                        <w:top w:val="none" w:sz="0" w:space="0" w:color="auto"/>
                        <w:left w:val="none" w:sz="0" w:space="0" w:color="auto"/>
                        <w:bottom w:val="none" w:sz="0" w:space="0" w:color="auto"/>
                        <w:right w:val="none" w:sz="0" w:space="0" w:color="auto"/>
                      </w:divBdr>
                    </w:div>
                  </w:divsChild>
                </w:div>
                <w:div w:id="776295432">
                  <w:marLeft w:val="0"/>
                  <w:marRight w:val="0"/>
                  <w:marTop w:val="0"/>
                  <w:marBottom w:val="0"/>
                  <w:divBdr>
                    <w:top w:val="none" w:sz="0" w:space="0" w:color="auto"/>
                    <w:left w:val="none" w:sz="0" w:space="0" w:color="auto"/>
                    <w:bottom w:val="none" w:sz="0" w:space="0" w:color="auto"/>
                    <w:right w:val="none" w:sz="0" w:space="0" w:color="auto"/>
                  </w:divBdr>
                  <w:divsChild>
                    <w:div w:id="1231889585">
                      <w:marLeft w:val="0"/>
                      <w:marRight w:val="0"/>
                      <w:marTop w:val="0"/>
                      <w:marBottom w:val="0"/>
                      <w:divBdr>
                        <w:top w:val="none" w:sz="0" w:space="0" w:color="auto"/>
                        <w:left w:val="none" w:sz="0" w:space="0" w:color="auto"/>
                        <w:bottom w:val="none" w:sz="0" w:space="0" w:color="auto"/>
                        <w:right w:val="none" w:sz="0" w:space="0" w:color="auto"/>
                      </w:divBdr>
                    </w:div>
                  </w:divsChild>
                </w:div>
                <w:div w:id="1972973214">
                  <w:marLeft w:val="0"/>
                  <w:marRight w:val="0"/>
                  <w:marTop w:val="0"/>
                  <w:marBottom w:val="0"/>
                  <w:divBdr>
                    <w:top w:val="none" w:sz="0" w:space="0" w:color="auto"/>
                    <w:left w:val="none" w:sz="0" w:space="0" w:color="auto"/>
                    <w:bottom w:val="none" w:sz="0" w:space="0" w:color="auto"/>
                    <w:right w:val="none" w:sz="0" w:space="0" w:color="auto"/>
                  </w:divBdr>
                  <w:divsChild>
                    <w:div w:id="1610894524">
                      <w:marLeft w:val="0"/>
                      <w:marRight w:val="0"/>
                      <w:marTop w:val="0"/>
                      <w:marBottom w:val="0"/>
                      <w:divBdr>
                        <w:top w:val="none" w:sz="0" w:space="0" w:color="auto"/>
                        <w:left w:val="none" w:sz="0" w:space="0" w:color="auto"/>
                        <w:bottom w:val="none" w:sz="0" w:space="0" w:color="auto"/>
                        <w:right w:val="none" w:sz="0" w:space="0" w:color="auto"/>
                      </w:divBdr>
                    </w:div>
                  </w:divsChild>
                </w:div>
                <w:div w:id="1569463611">
                  <w:marLeft w:val="0"/>
                  <w:marRight w:val="0"/>
                  <w:marTop w:val="0"/>
                  <w:marBottom w:val="0"/>
                  <w:divBdr>
                    <w:top w:val="none" w:sz="0" w:space="0" w:color="auto"/>
                    <w:left w:val="none" w:sz="0" w:space="0" w:color="auto"/>
                    <w:bottom w:val="none" w:sz="0" w:space="0" w:color="auto"/>
                    <w:right w:val="none" w:sz="0" w:space="0" w:color="auto"/>
                  </w:divBdr>
                  <w:divsChild>
                    <w:div w:id="37553772">
                      <w:marLeft w:val="0"/>
                      <w:marRight w:val="0"/>
                      <w:marTop w:val="0"/>
                      <w:marBottom w:val="0"/>
                      <w:divBdr>
                        <w:top w:val="none" w:sz="0" w:space="0" w:color="auto"/>
                        <w:left w:val="none" w:sz="0" w:space="0" w:color="auto"/>
                        <w:bottom w:val="none" w:sz="0" w:space="0" w:color="auto"/>
                        <w:right w:val="none" w:sz="0" w:space="0" w:color="auto"/>
                      </w:divBdr>
                    </w:div>
                  </w:divsChild>
                </w:div>
                <w:div w:id="896861030">
                  <w:marLeft w:val="0"/>
                  <w:marRight w:val="0"/>
                  <w:marTop w:val="0"/>
                  <w:marBottom w:val="0"/>
                  <w:divBdr>
                    <w:top w:val="none" w:sz="0" w:space="0" w:color="auto"/>
                    <w:left w:val="none" w:sz="0" w:space="0" w:color="auto"/>
                    <w:bottom w:val="none" w:sz="0" w:space="0" w:color="auto"/>
                    <w:right w:val="none" w:sz="0" w:space="0" w:color="auto"/>
                  </w:divBdr>
                  <w:divsChild>
                    <w:div w:id="1805804762">
                      <w:marLeft w:val="0"/>
                      <w:marRight w:val="0"/>
                      <w:marTop w:val="0"/>
                      <w:marBottom w:val="0"/>
                      <w:divBdr>
                        <w:top w:val="none" w:sz="0" w:space="0" w:color="auto"/>
                        <w:left w:val="none" w:sz="0" w:space="0" w:color="auto"/>
                        <w:bottom w:val="none" w:sz="0" w:space="0" w:color="auto"/>
                        <w:right w:val="none" w:sz="0" w:space="0" w:color="auto"/>
                      </w:divBdr>
                    </w:div>
                  </w:divsChild>
                </w:div>
                <w:div w:id="1819685545">
                  <w:marLeft w:val="0"/>
                  <w:marRight w:val="0"/>
                  <w:marTop w:val="0"/>
                  <w:marBottom w:val="0"/>
                  <w:divBdr>
                    <w:top w:val="none" w:sz="0" w:space="0" w:color="auto"/>
                    <w:left w:val="none" w:sz="0" w:space="0" w:color="auto"/>
                    <w:bottom w:val="none" w:sz="0" w:space="0" w:color="auto"/>
                    <w:right w:val="none" w:sz="0" w:space="0" w:color="auto"/>
                  </w:divBdr>
                  <w:divsChild>
                    <w:div w:id="1545216796">
                      <w:marLeft w:val="0"/>
                      <w:marRight w:val="0"/>
                      <w:marTop w:val="0"/>
                      <w:marBottom w:val="0"/>
                      <w:divBdr>
                        <w:top w:val="none" w:sz="0" w:space="0" w:color="auto"/>
                        <w:left w:val="none" w:sz="0" w:space="0" w:color="auto"/>
                        <w:bottom w:val="none" w:sz="0" w:space="0" w:color="auto"/>
                        <w:right w:val="none" w:sz="0" w:space="0" w:color="auto"/>
                      </w:divBdr>
                    </w:div>
                  </w:divsChild>
                </w:div>
                <w:div w:id="1503854644">
                  <w:marLeft w:val="0"/>
                  <w:marRight w:val="0"/>
                  <w:marTop w:val="0"/>
                  <w:marBottom w:val="0"/>
                  <w:divBdr>
                    <w:top w:val="none" w:sz="0" w:space="0" w:color="auto"/>
                    <w:left w:val="none" w:sz="0" w:space="0" w:color="auto"/>
                    <w:bottom w:val="none" w:sz="0" w:space="0" w:color="auto"/>
                    <w:right w:val="none" w:sz="0" w:space="0" w:color="auto"/>
                  </w:divBdr>
                  <w:divsChild>
                    <w:div w:id="139462242">
                      <w:marLeft w:val="0"/>
                      <w:marRight w:val="0"/>
                      <w:marTop w:val="0"/>
                      <w:marBottom w:val="0"/>
                      <w:divBdr>
                        <w:top w:val="none" w:sz="0" w:space="0" w:color="auto"/>
                        <w:left w:val="none" w:sz="0" w:space="0" w:color="auto"/>
                        <w:bottom w:val="none" w:sz="0" w:space="0" w:color="auto"/>
                        <w:right w:val="none" w:sz="0" w:space="0" w:color="auto"/>
                      </w:divBdr>
                    </w:div>
                  </w:divsChild>
                </w:div>
                <w:div w:id="451561688">
                  <w:marLeft w:val="0"/>
                  <w:marRight w:val="0"/>
                  <w:marTop w:val="0"/>
                  <w:marBottom w:val="0"/>
                  <w:divBdr>
                    <w:top w:val="none" w:sz="0" w:space="0" w:color="auto"/>
                    <w:left w:val="none" w:sz="0" w:space="0" w:color="auto"/>
                    <w:bottom w:val="none" w:sz="0" w:space="0" w:color="auto"/>
                    <w:right w:val="none" w:sz="0" w:space="0" w:color="auto"/>
                  </w:divBdr>
                  <w:divsChild>
                    <w:div w:id="1513252508">
                      <w:marLeft w:val="0"/>
                      <w:marRight w:val="0"/>
                      <w:marTop w:val="0"/>
                      <w:marBottom w:val="0"/>
                      <w:divBdr>
                        <w:top w:val="none" w:sz="0" w:space="0" w:color="auto"/>
                        <w:left w:val="none" w:sz="0" w:space="0" w:color="auto"/>
                        <w:bottom w:val="none" w:sz="0" w:space="0" w:color="auto"/>
                        <w:right w:val="none" w:sz="0" w:space="0" w:color="auto"/>
                      </w:divBdr>
                    </w:div>
                  </w:divsChild>
                </w:div>
                <w:div w:id="882014690">
                  <w:marLeft w:val="0"/>
                  <w:marRight w:val="0"/>
                  <w:marTop w:val="0"/>
                  <w:marBottom w:val="0"/>
                  <w:divBdr>
                    <w:top w:val="none" w:sz="0" w:space="0" w:color="auto"/>
                    <w:left w:val="none" w:sz="0" w:space="0" w:color="auto"/>
                    <w:bottom w:val="none" w:sz="0" w:space="0" w:color="auto"/>
                    <w:right w:val="none" w:sz="0" w:space="0" w:color="auto"/>
                  </w:divBdr>
                  <w:divsChild>
                    <w:div w:id="776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5065">
          <w:marLeft w:val="0"/>
          <w:marRight w:val="0"/>
          <w:marTop w:val="0"/>
          <w:marBottom w:val="0"/>
          <w:divBdr>
            <w:top w:val="none" w:sz="0" w:space="0" w:color="auto"/>
            <w:left w:val="none" w:sz="0" w:space="0" w:color="auto"/>
            <w:bottom w:val="none" w:sz="0" w:space="0" w:color="auto"/>
            <w:right w:val="none" w:sz="0" w:space="0" w:color="auto"/>
          </w:divBdr>
        </w:div>
        <w:div w:id="1763911828">
          <w:marLeft w:val="0"/>
          <w:marRight w:val="0"/>
          <w:marTop w:val="0"/>
          <w:marBottom w:val="0"/>
          <w:divBdr>
            <w:top w:val="none" w:sz="0" w:space="0" w:color="auto"/>
            <w:left w:val="none" w:sz="0" w:space="0" w:color="auto"/>
            <w:bottom w:val="none" w:sz="0" w:space="0" w:color="auto"/>
            <w:right w:val="none" w:sz="0" w:space="0" w:color="auto"/>
          </w:divBdr>
        </w:div>
        <w:div w:id="1142692203">
          <w:marLeft w:val="0"/>
          <w:marRight w:val="0"/>
          <w:marTop w:val="0"/>
          <w:marBottom w:val="0"/>
          <w:divBdr>
            <w:top w:val="none" w:sz="0" w:space="0" w:color="auto"/>
            <w:left w:val="none" w:sz="0" w:space="0" w:color="auto"/>
            <w:bottom w:val="none" w:sz="0" w:space="0" w:color="auto"/>
            <w:right w:val="none" w:sz="0" w:space="0" w:color="auto"/>
          </w:divBdr>
        </w:div>
        <w:div w:id="512233943">
          <w:marLeft w:val="0"/>
          <w:marRight w:val="0"/>
          <w:marTop w:val="0"/>
          <w:marBottom w:val="0"/>
          <w:divBdr>
            <w:top w:val="none" w:sz="0" w:space="0" w:color="auto"/>
            <w:left w:val="none" w:sz="0" w:space="0" w:color="auto"/>
            <w:bottom w:val="none" w:sz="0" w:space="0" w:color="auto"/>
            <w:right w:val="none" w:sz="0" w:space="0" w:color="auto"/>
          </w:divBdr>
        </w:div>
        <w:div w:id="1622616295">
          <w:marLeft w:val="0"/>
          <w:marRight w:val="0"/>
          <w:marTop w:val="0"/>
          <w:marBottom w:val="0"/>
          <w:divBdr>
            <w:top w:val="none" w:sz="0" w:space="0" w:color="auto"/>
            <w:left w:val="none" w:sz="0" w:space="0" w:color="auto"/>
            <w:bottom w:val="none" w:sz="0" w:space="0" w:color="auto"/>
            <w:right w:val="none" w:sz="0" w:space="0" w:color="auto"/>
          </w:divBdr>
        </w:div>
        <w:div w:id="982543437">
          <w:marLeft w:val="0"/>
          <w:marRight w:val="0"/>
          <w:marTop w:val="0"/>
          <w:marBottom w:val="0"/>
          <w:divBdr>
            <w:top w:val="none" w:sz="0" w:space="0" w:color="auto"/>
            <w:left w:val="none" w:sz="0" w:space="0" w:color="auto"/>
            <w:bottom w:val="none" w:sz="0" w:space="0" w:color="auto"/>
            <w:right w:val="none" w:sz="0" w:space="0" w:color="auto"/>
          </w:divBdr>
        </w:div>
        <w:div w:id="2070691261">
          <w:marLeft w:val="0"/>
          <w:marRight w:val="0"/>
          <w:marTop w:val="0"/>
          <w:marBottom w:val="0"/>
          <w:divBdr>
            <w:top w:val="none" w:sz="0" w:space="0" w:color="auto"/>
            <w:left w:val="none" w:sz="0" w:space="0" w:color="auto"/>
            <w:bottom w:val="none" w:sz="0" w:space="0" w:color="auto"/>
            <w:right w:val="none" w:sz="0" w:space="0" w:color="auto"/>
          </w:divBdr>
        </w:div>
      </w:divsChild>
    </w:div>
    <w:div w:id="886532010">
      <w:bodyDiv w:val="1"/>
      <w:marLeft w:val="0"/>
      <w:marRight w:val="0"/>
      <w:marTop w:val="0"/>
      <w:marBottom w:val="0"/>
      <w:divBdr>
        <w:top w:val="none" w:sz="0" w:space="0" w:color="auto"/>
        <w:left w:val="none" w:sz="0" w:space="0" w:color="auto"/>
        <w:bottom w:val="none" w:sz="0" w:space="0" w:color="auto"/>
        <w:right w:val="none" w:sz="0" w:space="0" w:color="auto"/>
      </w:divBdr>
    </w:div>
    <w:div w:id="1106314491">
      <w:bodyDiv w:val="1"/>
      <w:marLeft w:val="0"/>
      <w:marRight w:val="0"/>
      <w:marTop w:val="0"/>
      <w:marBottom w:val="0"/>
      <w:divBdr>
        <w:top w:val="none" w:sz="0" w:space="0" w:color="auto"/>
        <w:left w:val="none" w:sz="0" w:space="0" w:color="auto"/>
        <w:bottom w:val="none" w:sz="0" w:space="0" w:color="auto"/>
        <w:right w:val="none" w:sz="0" w:space="0" w:color="auto"/>
      </w:divBdr>
    </w:div>
    <w:div w:id="1478761297">
      <w:bodyDiv w:val="1"/>
      <w:marLeft w:val="0"/>
      <w:marRight w:val="0"/>
      <w:marTop w:val="0"/>
      <w:marBottom w:val="0"/>
      <w:divBdr>
        <w:top w:val="none" w:sz="0" w:space="0" w:color="auto"/>
        <w:left w:val="none" w:sz="0" w:space="0" w:color="auto"/>
        <w:bottom w:val="none" w:sz="0" w:space="0" w:color="auto"/>
        <w:right w:val="none" w:sz="0" w:space="0" w:color="auto"/>
      </w:divBdr>
    </w:div>
    <w:div w:id="1496258952">
      <w:bodyDiv w:val="1"/>
      <w:marLeft w:val="0"/>
      <w:marRight w:val="0"/>
      <w:marTop w:val="0"/>
      <w:marBottom w:val="0"/>
      <w:divBdr>
        <w:top w:val="none" w:sz="0" w:space="0" w:color="auto"/>
        <w:left w:val="none" w:sz="0" w:space="0" w:color="auto"/>
        <w:bottom w:val="none" w:sz="0" w:space="0" w:color="auto"/>
        <w:right w:val="none" w:sz="0" w:space="0" w:color="auto"/>
      </w:divBdr>
    </w:div>
    <w:div w:id="1542939574">
      <w:bodyDiv w:val="1"/>
      <w:marLeft w:val="0"/>
      <w:marRight w:val="0"/>
      <w:marTop w:val="0"/>
      <w:marBottom w:val="0"/>
      <w:divBdr>
        <w:top w:val="none" w:sz="0" w:space="0" w:color="auto"/>
        <w:left w:val="none" w:sz="0" w:space="0" w:color="auto"/>
        <w:bottom w:val="none" w:sz="0" w:space="0" w:color="auto"/>
        <w:right w:val="none" w:sz="0" w:space="0" w:color="auto"/>
      </w:divBdr>
    </w:div>
    <w:div w:id="1848981527">
      <w:bodyDiv w:val="1"/>
      <w:marLeft w:val="0"/>
      <w:marRight w:val="0"/>
      <w:marTop w:val="0"/>
      <w:marBottom w:val="0"/>
      <w:divBdr>
        <w:top w:val="none" w:sz="0" w:space="0" w:color="auto"/>
        <w:left w:val="none" w:sz="0" w:space="0" w:color="auto"/>
        <w:bottom w:val="none" w:sz="0" w:space="0" w:color="auto"/>
        <w:right w:val="none" w:sz="0" w:space="0" w:color="auto"/>
      </w:divBdr>
    </w:div>
    <w:div w:id="1976182586">
      <w:bodyDiv w:val="1"/>
      <w:marLeft w:val="0"/>
      <w:marRight w:val="0"/>
      <w:marTop w:val="0"/>
      <w:marBottom w:val="0"/>
      <w:divBdr>
        <w:top w:val="none" w:sz="0" w:space="0" w:color="auto"/>
        <w:left w:val="none" w:sz="0" w:space="0" w:color="auto"/>
        <w:bottom w:val="none" w:sz="0" w:space="0" w:color="auto"/>
        <w:right w:val="none" w:sz="0" w:space="0" w:color="auto"/>
      </w:divBdr>
      <w:divsChild>
        <w:div w:id="1796173145">
          <w:marLeft w:val="0"/>
          <w:marRight w:val="0"/>
          <w:marTop w:val="0"/>
          <w:marBottom w:val="0"/>
          <w:divBdr>
            <w:top w:val="none" w:sz="0" w:space="0" w:color="auto"/>
            <w:left w:val="none" w:sz="0" w:space="0" w:color="auto"/>
            <w:bottom w:val="none" w:sz="0" w:space="0" w:color="auto"/>
            <w:right w:val="none" w:sz="0" w:space="0" w:color="auto"/>
          </w:divBdr>
        </w:div>
        <w:div w:id="472060268">
          <w:marLeft w:val="0"/>
          <w:marRight w:val="0"/>
          <w:marTop w:val="0"/>
          <w:marBottom w:val="0"/>
          <w:divBdr>
            <w:top w:val="none" w:sz="0" w:space="0" w:color="auto"/>
            <w:left w:val="none" w:sz="0" w:space="0" w:color="auto"/>
            <w:bottom w:val="none" w:sz="0" w:space="0" w:color="auto"/>
            <w:right w:val="none" w:sz="0" w:space="0" w:color="auto"/>
          </w:divBdr>
        </w:div>
        <w:div w:id="1962610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jpg"/><Relationship Id="rId26" Type="http://schemas.openxmlformats.org/officeDocument/2006/relationships/image" Target="media/image12.jpeg"/><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footer" Target="footer1.xml"/><Relationship Id="Re81d2cbaaa3348b1"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v2.wellcertified.com/en/wellv2/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docs.agi32.com/AGi32/Content/multi_use_forms/Color_Bleed_-_Concepts.htm"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8622A3A5FD0342974F50CA8143EF72" ma:contentTypeVersion="11" ma:contentTypeDescription="Create a new document." ma:contentTypeScope="" ma:versionID="91d23b0a4c23533aab96f680711e3e1d">
  <xsd:schema xmlns:xsd="http://www.w3.org/2001/XMLSchema" xmlns:xs="http://www.w3.org/2001/XMLSchema" xmlns:p="http://schemas.microsoft.com/office/2006/metadata/properties" xmlns:ns3="0102aeb2-439c-495d-9d87-5e28d92e9783" xmlns:ns4="fa60371f-4dd5-4e73-9a46-2e4f6ce8ccbf" targetNamespace="http://schemas.microsoft.com/office/2006/metadata/properties" ma:root="true" ma:fieldsID="6ec15413383fb016351643b86e6b18c4" ns3:_="" ns4:_="">
    <xsd:import namespace="0102aeb2-439c-495d-9d87-5e28d92e9783"/>
    <xsd:import namespace="fa60371f-4dd5-4e73-9a46-2e4f6ce8cc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2aeb2-439c-495d-9d87-5e28d92e9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0371f-4dd5-4e73-9a46-2e4f6ce8ccb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 (1).XSL" StyleName="Chicago" Version="16"/>
</file>

<file path=customXml/itemProps1.xml><?xml version="1.0" encoding="utf-8"?>
<ds:datastoreItem xmlns:ds="http://schemas.openxmlformats.org/officeDocument/2006/customXml" ds:itemID="{195D0B42-CEBD-4864-AA9A-A80B83C3A694}">
  <ds:schemaRefs>
    <ds:schemaRef ds:uri="http://schemas.microsoft.com/sharepoint/v3/contenttype/forms"/>
  </ds:schemaRefs>
</ds:datastoreItem>
</file>

<file path=customXml/itemProps2.xml><?xml version="1.0" encoding="utf-8"?>
<ds:datastoreItem xmlns:ds="http://schemas.openxmlformats.org/officeDocument/2006/customXml" ds:itemID="{3C01EEF2-0E61-47F2-84C9-B05C767490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8DD29E-4D43-4F4F-AA1B-4AC3A53DB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2aeb2-439c-495d-9d87-5e28d92e9783"/>
    <ds:schemaRef ds:uri="fa60371f-4dd5-4e73-9a46-2e4f6ce8c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8E348A-F8E3-4405-A072-F928BFE6A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11025</Words>
  <Characters>62845</Characters>
  <Application>Microsoft Office Word</Application>
  <DocSecurity>0</DocSecurity>
  <Lines>523</Lines>
  <Paragraphs>147</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Introduction 	</vt:lpstr>
      <vt:lpstr>Background</vt:lpstr>
      <vt:lpstr>State of the Industry</vt:lpstr>
      <vt:lpstr>    Circadian Lighting Metrics</vt:lpstr>
      <vt:lpstr>    Design Recommendations</vt:lpstr>
      <vt:lpstr>Design Process</vt:lpstr>
      <vt:lpstr>    Design of Experimental Conditions</vt:lpstr>
      <vt:lpstr>    Lighting Design</vt:lpstr>
      <vt:lpstr>Lighting Simulations</vt:lpstr>
      <vt:lpstr>    Simulation Software Tools and Methods</vt:lpstr>
      <vt:lpstr>    Open Office Simulations – Comparison of Software Tools and Methods</vt:lpstr>
      <vt:lpstr>        Private Office Simulations – Comparison of Occupant View Direction</vt:lpstr>
      <vt:lpstr>        Storage Space Simulation Comparisons </vt:lpstr>
      <vt:lpstr>    Energy Implications</vt:lpstr>
      <vt:lpstr>Conclusion</vt:lpstr>
      <vt:lpstr>        Key Results:</vt:lpstr>
      <vt:lpstr>References</vt:lpstr>
    </vt:vector>
  </TitlesOfParts>
  <Company/>
  <LinksUpToDate>false</LinksUpToDate>
  <CharactersWithSpaces>73723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Andrea</dc:creator>
  <cp:keywords/>
  <dc:description/>
  <cp:lastModifiedBy>Safranek, Sarah F</cp:lastModifiedBy>
  <cp:revision>2</cp:revision>
  <dcterms:created xsi:type="dcterms:W3CDTF">2021-12-27T20:28:00Z</dcterms:created>
  <dcterms:modified xsi:type="dcterms:W3CDTF">2021-12-27T20:28:00Z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0x010100C88622A3A5FD0342974F50CA8143EF72</vt:lpwstr>
  </property>
</Properties>
</file>