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F8636" w14:textId="6D0ACB73" w:rsidR="000C67B8" w:rsidRDefault="00997A42">
      <w:pPr>
        <w:pStyle w:val="Title"/>
      </w:pPr>
      <w:r w:rsidRPr="00997A42">
        <w:t>An Analysis of the Hybrid Internal Mass Modeling Approach in EnergyPlus</w:t>
      </w:r>
    </w:p>
    <w:p w14:paraId="6C0C932A" w14:textId="7C47B314" w:rsidR="000C67B8" w:rsidRPr="00C7272D" w:rsidRDefault="000C67B8" w:rsidP="00E347AA">
      <w:pPr>
        <w:pStyle w:val="Authors"/>
      </w:pPr>
    </w:p>
    <w:p w14:paraId="27A9C0AD" w14:textId="77777777" w:rsidR="003525D5" w:rsidRDefault="003525D5" w:rsidP="00E27583">
      <w:pPr>
        <w:pBdr>
          <w:top w:val="nil"/>
          <w:left w:val="nil"/>
          <w:bottom w:val="nil"/>
          <w:right w:val="nil"/>
          <w:between w:val="nil"/>
        </w:pBdr>
        <w:spacing w:after="0" w:line="281" w:lineRule="auto"/>
        <w:jc w:val="center"/>
        <w:rPr>
          <w:color w:val="000000"/>
          <w:sz w:val="24"/>
          <w:szCs w:val="24"/>
        </w:rPr>
      </w:pPr>
      <w:r>
        <w:rPr>
          <w:rFonts w:eastAsia="Times New Roman"/>
          <w:color w:val="000000"/>
          <w:sz w:val="24"/>
          <w:szCs w:val="24"/>
        </w:rPr>
        <w:t>Zhelun Chen</w:t>
      </w:r>
      <w:r>
        <w:rPr>
          <w:color w:val="000000"/>
          <w:sz w:val="24"/>
          <w:szCs w:val="24"/>
          <w:vertAlign w:val="superscript"/>
        </w:rPr>
        <w:t>1</w:t>
      </w:r>
      <w:r>
        <w:rPr>
          <w:color w:val="000000"/>
          <w:sz w:val="24"/>
          <w:szCs w:val="24"/>
        </w:rPr>
        <w:t>, Jin Wen</w:t>
      </w:r>
      <w:r>
        <w:rPr>
          <w:color w:val="000000"/>
          <w:sz w:val="24"/>
          <w:szCs w:val="24"/>
          <w:vertAlign w:val="superscript"/>
        </w:rPr>
        <w:t>1</w:t>
      </w:r>
      <w:r>
        <w:rPr>
          <w:color w:val="000000"/>
          <w:sz w:val="24"/>
          <w:szCs w:val="24"/>
        </w:rPr>
        <w:t xml:space="preserve">, </w:t>
      </w:r>
      <w:r w:rsidRPr="00A75609">
        <w:rPr>
          <w:color w:val="000000"/>
          <w:sz w:val="24"/>
          <w:szCs w:val="24"/>
        </w:rPr>
        <w:t>Steven T. Bushby</w:t>
      </w:r>
      <w:r>
        <w:rPr>
          <w:color w:val="000000"/>
          <w:sz w:val="24"/>
          <w:szCs w:val="24"/>
          <w:vertAlign w:val="superscript"/>
        </w:rPr>
        <w:t>2</w:t>
      </w:r>
      <w:r>
        <w:rPr>
          <w:color w:val="000000"/>
          <w:sz w:val="24"/>
          <w:szCs w:val="24"/>
        </w:rPr>
        <w:t xml:space="preserve">, </w:t>
      </w:r>
      <w:r w:rsidRPr="00A75609">
        <w:rPr>
          <w:color w:val="000000"/>
          <w:sz w:val="24"/>
          <w:szCs w:val="24"/>
        </w:rPr>
        <w:t>L. James Lo</w:t>
      </w:r>
      <w:r>
        <w:rPr>
          <w:color w:val="000000"/>
          <w:sz w:val="24"/>
          <w:szCs w:val="24"/>
          <w:vertAlign w:val="superscript"/>
        </w:rPr>
        <w:t>1</w:t>
      </w:r>
      <w:r>
        <w:rPr>
          <w:color w:val="000000"/>
          <w:sz w:val="24"/>
          <w:szCs w:val="24"/>
        </w:rPr>
        <w:t>,</w:t>
      </w:r>
      <w:r w:rsidRPr="00A75609">
        <w:rPr>
          <w:color w:val="000000"/>
          <w:sz w:val="24"/>
          <w:szCs w:val="24"/>
        </w:rPr>
        <w:t xml:space="preserve"> Zheng O’Neill</w:t>
      </w:r>
      <w:r>
        <w:rPr>
          <w:color w:val="000000"/>
          <w:sz w:val="24"/>
          <w:szCs w:val="24"/>
          <w:vertAlign w:val="superscript"/>
        </w:rPr>
        <w:t>3</w:t>
      </w:r>
      <w:r>
        <w:rPr>
          <w:color w:val="000000"/>
          <w:sz w:val="24"/>
          <w:szCs w:val="24"/>
        </w:rPr>
        <w:t xml:space="preserve">, </w:t>
      </w:r>
      <w:r w:rsidRPr="009272DE">
        <w:rPr>
          <w:color w:val="000000"/>
          <w:sz w:val="24"/>
          <w:szCs w:val="24"/>
        </w:rPr>
        <w:t>W. Vance Payne</w:t>
      </w:r>
      <w:r>
        <w:rPr>
          <w:color w:val="000000"/>
          <w:sz w:val="24"/>
          <w:szCs w:val="24"/>
          <w:vertAlign w:val="superscript"/>
        </w:rPr>
        <w:t>2</w:t>
      </w:r>
      <w:r>
        <w:rPr>
          <w:color w:val="000000"/>
          <w:sz w:val="24"/>
          <w:szCs w:val="24"/>
        </w:rPr>
        <w:t>,</w:t>
      </w:r>
      <w:r>
        <w:rPr>
          <w:color w:val="000000"/>
          <w:sz w:val="24"/>
          <w:szCs w:val="24"/>
        </w:rPr>
        <w:br/>
      </w:r>
      <w:r w:rsidRPr="009272DE">
        <w:rPr>
          <w:color w:val="000000"/>
          <w:sz w:val="24"/>
          <w:szCs w:val="24"/>
        </w:rPr>
        <w:t>Amanda Pertzborn</w:t>
      </w:r>
      <w:r>
        <w:rPr>
          <w:color w:val="000000"/>
          <w:sz w:val="24"/>
          <w:szCs w:val="24"/>
          <w:vertAlign w:val="superscript"/>
        </w:rPr>
        <w:t>2</w:t>
      </w:r>
      <w:r>
        <w:rPr>
          <w:color w:val="000000"/>
          <w:sz w:val="24"/>
          <w:szCs w:val="24"/>
        </w:rPr>
        <w:t>,</w:t>
      </w:r>
      <w:r w:rsidRPr="00A75609">
        <w:rPr>
          <w:color w:val="000000"/>
          <w:sz w:val="24"/>
          <w:szCs w:val="24"/>
        </w:rPr>
        <w:t xml:space="preserve"> </w:t>
      </w:r>
      <w:r>
        <w:rPr>
          <w:color w:val="000000"/>
          <w:sz w:val="24"/>
          <w:szCs w:val="24"/>
        </w:rPr>
        <w:t>Caleb</w:t>
      </w:r>
      <w:r w:rsidRPr="00A75609">
        <w:rPr>
          <w:color w:val="000000"/>
          <w:sz w:val="24"/>
          <w:szCs w:val="24"/>
        </w:rPr>
        <w:t xml:space="preserve"> </w:t>
      </w:r>
      <w:r>
        <w:rPr>
          <w:color w:val="000000"/>
          <w:sz w:val="24"/>
          <w:szCs w:val="24"/>
        </w:rPr>
        <w:t>Calfa</w:t>
      </w:r>
      <w:r>
        <w:rPr>
          <w:color w:val="000000"/>
          <w:sz w:val="24"/>
          <w:szCs w:val="24"/>
          <w:vertAlign w:val="superscript"/>
        </w:rPr>
        <w:t>3</w:t>
      </w:r>
      <w:r>
        <w:rPr>
          <w:color w:val="000000"/>
          <w:sz w:val="24"/>
          <w:szCs w:val="24"/>
        </w:rPr>
        <w:t>,</w:t>
      </w:r>
      <w:r w:rsidRPr="00A75609">
        <w:rPr>
          <w:color w:val="000000"/>
          <w:sz w:val="24"/>
          <w:szCs w:val="24"/>
        </w:rPr>
        <w:t xml:space="preserve"> </w:t>
      </w:r>
      <w:r>
        <w:rPr>
          <w:color w:val="000000"/>
          <w:sz w:val="24"/>
          <w:szCs w:val="24"/>
        </w:rPr>
        <w:t>Yangyang Fu</w:t>
      </w:r>
      <w:r>
        <w:rPr>
          <w:color w:val="000000"/>
          <w:sz w:val="24"/>
          <w:szCs w:val="24"/>
          <w:vertAlign w:val="superscript"/>
        </w:rPr>
        <w:t>3</w:t>
      </w:r>
      <w:r>
        <w:rPr>
          <w:color w:val="000000"/>
          <w:sz w:val="24"/>
          <w:szCs w:val="24"/>
        </w:rPr>
        <w:t>,</w:t>
      </w:r>
      <w:r w:rsidRPr="00A75609">
        <w:rPr>
          <w:color w:val="000000"/>
          <w:sz w:val="24"/>
          <w:szCs w:val="24"/>
        </w:rPr>
        <w:t xml:space="preserve"> </w:t>
      </w:r>
      <w:r w:rsidRPr="009272DE">
        <w:rPr>
          <w:color w:val="000000"/>
          <w:sz w:val="24"/>
          <w:szCs w:val="24"/>
        </w:rPr>
        <w:t>Gabriel Grajewski</w:t>
      </w:r>
      <w:r>
        <w:rPr>
          <w:color w:val="000000"/>
          <w:sz w:val="24"/>
          <w:szCs w:val="24"/>
          <w:vertAlign w:val="superscript"/>
        </w:rPr>
        <w:t>1</w:t>
      </w:r>
      <w:r>
        <w:rPr>
          <w:color w:val="000000"/>
          <w:sz w:val="24"/>
          <w:szCs w:val="24"/>
        </w:rPr>
        <w:t>,</w:t>
      </w:r>
      <w:r w:rsidRPr="00A75609">
        <w:rPr>
          <w:color w:val="000000"/>
          <w:sz w:val="24"/>
          <w:szCs w:val="24"/>
        </w:rPr>
        <w:t xml:space="preserve"> </w:t>
      </w:r>
      <w:proofErr w:type="spellStart"/>
      <w:r>
        <w:rPr>
          <w:color w:val="000000"/>
          <w:sz w:val="24"/>
          <w:szCs w:val="24"/>
        </w:rPr>
        <w:t>Yicheng</w:t>
      </w:r>
      <w:proofErr w:type="spellEnd"/>
      <w:r>
        <w:rPr>
          <w:color w:val="000000"/>
          <w:sz w:val="24"/>
          <w:szCs w:val="24"/>
        </w:rPr>
        <w:t xml:space="preserve"> Li</w:t>
      </w:r>
      <w:r>
        <w:rPr>
          <w:color w:val="000000"/>
          <w:sz w:val="24"/>
          <w:szCs w:val="24"/>
          <w:vertAlign w:val="superscript"/>
        </w:rPr>
        <w:t>1</w:t>
      </w:r>
      <w:r>
        <w:rPr>
          <w:color w:val="000000"/>
          <w:sz w:val="24"/>
          <w:szCs w:val="24"/>
        </w:rPr>
        <w:t>,</w:t>
      </w:r>
      <w:r w:rsidRPr="00A75609">
        <w:rPr>
          <w:color w:val="000000"/>
          <w:sz w:val="24"/>
          <w:szCs w:val="24"/>
        </w:rPr>
        <w:t xml:space="preserve"> </w:t>
      </w:r>
      <w:r>
        <w:rPr>
          <w:color w:val="000000"/>
          <w:sz w:val="24"/>
          <w:szCs w:val="24"/>
        </w:rPr>
        <w:t>Zhiyao Yang</w:t>
      </w:r>
      <w:r>
        <w:rPr>
          <w:color w:val="000000"/>
          <w:sz w:val="24"/>
          <w:szCs w:val="24"/>
          <w:vertAlign w:val="superscript"/>
        </w:rPr>
        <w:t>3</w:t>
      </w:r>
    </w:p>
    <w:p w14:paraId="36517947" w14:textId="77777777" w:rsidR="003525D5" w:rsidRDefault="003525D5" w:rsidP="00E27583">
      <w:pPr>
        <w:pBdr>
          <w:top w:val="nil"/>
          <w:left w:val="nil"/>
          <w:bottom w:val="nil"/>
          <w:right w:val="nil"/>
          <w:between w:val="nil"/>
        </w:pBdr>
        <w:spacing w:after="0" w:line="281" w:lineRule="auto"/>
        <w:jc w:val="center"/>
        <w:rPr>
          <w:color w:val="000000"/>
          <w:sz w:val="24"/>
          <w:szCs w:val="24"/>
        </w:rPr>
      </w:pPr>
      <w:r>
        <w:rPr>
          <w:color w:val="000000"/>
          <w:sz w:val="24"/>
          <w:szCs w:val="24"/>
          <w:vertAlign w:val="superscript"/>
        </w:rPr>
        <w:t>1</w:t>
      </w:r>
      <w:r>
        <w:rPr>
          <w:color w:val="000000"/>
          <w:sz w:val="24"/>
          <w:szCs w:val="24"/>
        </w:rPr>
        <w:t>Drexel University, Philadelphia, PA, USA</w:t>
      </w:r>
    </w:p>
    <w:p w14:paraId="6EA656C2" w14:textId="77777777" w:rsidR="003525D5" w:rsidRDefault="003525D5" w:rsidP="00E27583">
      <w:pPr>
        <w:pBdr>
          <w:top w:val="nil"/>
          <w:left w:val="nil"/>
          <w:bottom w:val="nil"/>
          <w:right w:val="nil"/>
          <w:between w:val="nil"/>
        </w:pBdr>
        <w:spacing w:after="0" w:line="281" w:lineRule="auto"/>
        <w:jc w:val="center"/>
        <w:rPr>
          <w:color w:val="000000"/>
          <w:sz w:val="24"/>
          <w:szCs w:val="24"/>
        </w:rPr>
      </w:pPr>
      <w:r>
        <w:rPr>
          <w:color w:val="000000"/>
          <w:sz w:val="24"/>
          <w:szCs w:val="24"/>
          <w:vertAlign w:val="superscript"/>
        </w:rPr>
        <w:t>2</w:t>
      </w:r>
      <w:r w:rsidRPr="00A75609">
        <w:rPr>
          <w:color w:val="000000"/>
          <w:sz w:val="24"/>
          <w:szCs w:val="24"/>
        </w:rPr>
        <w:t>National Institute of Standards and Technology, Gaithersburg, MD, USA</w:t>
      </w:r>
    </w:p>
    <w:p w14:paraId="65C14411" w14:textId="4AED1294" w:rsidR="000C67B8" w:rsidRDefault="003525D5" w:rsidP="00E27583">
      <w:pPr>
        <w:pStyle w:val="Authors"/>
        <w:spacing w:line="281" w:lineRule="auto"/>
        <w:rPr>
          <w:color w:val="000000"/>
          <w:szCs w:val="24"/>
        </w:rPr>
      </w:pPr>
      <w:r>
        <w:rPr>
          <w:color w:val="000000"/>
          <w:szCs w:val="24"/>
          <w:vertAlign w:val="superscript"/>
        </w:rPr>
        <w:t>3</w:t>
      </w:r>
      <w:r w:rsidRPr="00A75609">
        <w:rPr>
          <w:color w:val="000000"/>
          <w:szCs w:val="24"/>
        </w:rPr>
        <w:t>Texas A&amp;M University, College Station, TX, USA</w:t>
      </w:r>
    </w:p>
    <w:p w14:paraId="425D4014" w14:textId="77777777" w:rsidR="000C67B8" w:rsidRDefault="000C67B8" w:rsidP="00D5179F">
      <w:pPr>
        <w:pStyle w:val="Authors"/>
        <w:spacing w:line="281" w:lineRule="auto"/>
        <w:jc w:val="both"/>
        <w:rPr>
          <w:i/>
          <w:color w:val="000000"/>
          <w:szCs w:val="24"/>
        </w:rPr>
      </w:pPr>
    </w:p>
    <w:p w14:paraId="0E701B6E" w14:textId="77777777" w:rsidR="000C67B8" w:rsidRDefault="000C67B8" w:rsidP="00E27583">
      <w:pPr>
        <w:pStyle w:val="Authors"/>
        <w:spacing w:line="281" w:lineRule="auto"/>
        <w:rPr>
          <w:i/>
          <w:color w:val="000000"/>
          <w:szCs w:val="24"/>
        </w:rPr>
      </w:pPr>
    </w:p>
    <w:p w14:paraId="7DD90E78" w14:textId="77777777" w:rsidR="000C67B8" w:rsidRDefault="000C67B8" w:rsidP="00D5179F">
      <w:pPr>
        <w:pBdr>
          <w:top w:val="nil"/>
          <w:left w:val="nil"/>
          <w:bottom w:val="nil"/>
          <w:right w:val="nil"/>
          <w:between w:val="nil"/>
        </w:pBdr>
        <w:spacing w:after="0" w:line="280" w:lineRule="auto"/>
        <w:rPr>
          <w:i/>
          <w:color w:val="000000"/>
          <w:sz w:val="24"/>
          <w:szCs w:val="24"/>
        </w:rPr>
        <w:sectPr w:rsidR="000C67B8">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134" w:header="720" w:footer="720" w:gutter="0"/>
          <w:pgNumType w:start="1"/>
          <w:cols w:space="720"/>
        </w:sectPr>
      </w:pPr>
    </w:p>
    <w:p w14:paraId="0B0D04B0" w14:textId="77777777" w:rsidR="000C67B8" w:rsidRDefault="00DB7A1F">
      <w:pPr>
        <w:pStyle w:val="Heading1"/>
      </w:pPr>
      <w:r>
        <w:t>Abstract</w:t>
      </w:r>
    </w:p>
    <w:p w14:paraId="617F7E43" w14:textId="20E65A2A" w:rsidR="009272DE" w:rsidRDefault="00CD3DEB" w:rsidP="005F4A72">
      <w:pPr>
        <w:rPr>
          <w:b/>
        </w:rPr>
      </w:pPr>
      <w:r w:rsidRPr="00CD3DEB">
        <w:t>Accurate simulation of building system dynamics is particularly important for understanding building energy flexibility. Among all dynamics in a building, a zone temperature’s variation is especially important, as it significantly affects a building’s electricity load</w:t>
      </w:r>
      <w:r w:rsidR="00B37E8D">
        <w:t xml:space="preserve"> profile</w:t>
      </w:r>
      <w:r w:rsidRPr="00CD3DEB">
        <w:t xml:space="preserve"> when its heating, ventilating, and air conditioning (HVAC) system is controlled with on/off cycles</w:t>
      </w:r>
      <w:r w:rsidR="00E12BB5">
        <w:t xml:space="preserve"> or setpoint </w:t>
      </w:r>
      <w:r w:rsidR="00703100">
        <w:t>reset</w:t>
      </w:r>
      <w:r w:rsidR="00E12BB5">
        <w:t xml:space="preserve"> strategies</w:t>
      </w:r>
      <w:r w:rsidRPr="00CD3DEB">
        <w:t xml:space="preserve">. To accurately simulate a zone temperature’s dynamics, internal mass needs to be modeled carefully. In this paper, we compare the two internal mass modeling approaches provided by EnergyPlus, i.e., internal mass object and </w:t>
      </w:r>
      <w:r w:rsidR="00B37E8D">
        <w:t>zone air</w:t>
      </w:r>
      <w:r w:rsidRPr="00CD3DEB">
        <w:t xml:space="preserve"> capacitance multiplier, to better understand their impacts on zone temperature simulation. Real building zone temperature dynamic data from small- and medium-sized office buildings are analyzed and compared with simulated data. </w:t>
      </w:r>
      <w:proofErr w:type="gramStart"/>
      <w:r w:rsidRPr="00CD3DEB">
        <w:t>In particular, we</w:t>
      </w:r>
      <w:proofErr w:type="gramEnd"/>
      <w:r w:rsidRPr="00CD3DEB">
        <w:t xml:space="preserve"> illustrate the effectiveness of </w:t>
      </w:r>
      <w:r w:rsidR="00805AF7">
        <w:t>a</w:t>
      </w:r>
      <w:r w:rsidR="00805AF7" w:rsidRPr="00CD3DEB">
        <w:t xml:space="preserve"> </w:t>
      </w:r>
      <w:r w:rsidRPr="00CD3DEB">
        <w:t xml:space="preserve">hybrid </w:t>
      </w:r>
      <w:r w:rsidR="00091479">
        <w:t xml:space="preserve">method </w:t>
      </w:r>
      <w:r w:rsidR="00805AF7">
        <w:t xml:space="preserve">of the two EnergyPlus modeling </w:t>
      </w:r>
      <w:r w:rsidRPr="00CD3DEB">
        <w:t>approach</w:t>
      </w:r>
      <w:r w:rsidR="00805AF7">
        <w:t>es,</w:t>
      </w:r>
      <w:r w:rsidRPr="00CD3DEB">
        <w:t xml:space="preserve"> which yields more realistic zone temperature dynamics</w:t>
      </w:r>
      <w:r w:rsidR="00F32EA3">
        <w:t>, especially</w:t>
      </w:r>
      <w:r w:rsidRPr="00CD3DEB">
        <w:t xml:space="preserve"> when </w:t>
      </w:r>
      <w:r w:rsidR="00805AF7">
        <w:t>the zone</w:t>
      </w:r>
      <w:r w:rsidR="00805AF7" w:rsidRPr="00CD3DEB">
        <w:t xml:space="preserve"> </w:t>
      </w:r>
      <w:r w:rsidRPr="00CD3DEB">
        <w:t>is conditioned with heat pump systems with on/off cycling.</w:t>
      </w:r>
    </w:p>
    <w:p w14:paraId="0A4CBF2F" w14:textId="091B393E" w:rsidR="000C67B8" w:rsidRDefault="00DB7A1F" w:rsidP="00CD3DEB">
      <w:pPr>
        <w:pStyle w:val="Heading1"/>
        <w:jc w:val="both"/>
      </w:pPr>
      <w:r>
        <w:t>Introduction</w:t>
      </w:r>
    </w:p>
    <w:p w14:paraId="746FAD01" w14:textId="7CCDB354" w:rsidR="005F4A72" w:rsidRDefault="0013757D" w:rsidP="005F4A72">
      <w:r w:rsidRPr="0013757D">
        <w:t>With the increase</w:t>
      </w:r>
      <w:r w:rsidR="00091479">
        <w:t>d adoption</w:t>
      </w:r>
      <w:r w:rsidRPr="0013757D">
        <w:t xml:space="preserve"> of renewable energy and smart grid, it is important to improve the flexibility of both the supply-side and demand-side of </w:t>
      </w:r>
      <w:r w:rsidR="00091479">
        <w:t>an</w:t>
      </w:r>
      <w:r w:rsidR="00091479" w:rsidRPr="0013757D">
        <w:t xml:space="preserve"> </w:t>
      </w:r>
      <w:r w:rsidRPr="0013757D">
        <w:t>electric grid to meet the needs of power generation, transmission, distribution, and dispatch. As one of the main users of the electric grid, the building sector (including both residential and commercial) plays an important role in the realization of a flexible grid. Fully exploiting the energy flexibility potential of buildings and building equipment can effectively achieve the goals of reducing energy costs, shifting electricity peaks, increasing renewable energy use in the sector, and enhancing the stability of the grid.</w:t>
      </w:r>
    </w:p>
    <w:p w14:paraId="2F9043D6" w14:textId="07947C11" w:rsidR="00E12BB5" w:rsidRDefault="00E95580" w:rsidP="005F4A72">
      <w:r w:rsidRPr="00CD3DEB">
        <w:t>Accurate simulation of building system dynamics is particularly important for understanding building energy flexibility.</w:t>
      </w:r>
      <w:r w:rsidR="00635590">
        <w:t xml:space="preserve"> </w:t>
      </w:r>
      <w:r w:rsidR="00635590" w:rsidRPr="00CD3DEB">
        <w:t xml:space="preserve">Among all dynamics in a building, zone temperature variation is especially important, as it </w:t>
      </w:r>
      <w:r w:rsidR="00E34E96">
        <w:t xml:space="preserve">can </w:t>
      </w:r>
      <w:r w:rsidR="00635590" w:rsidRPr="00CD3DEB">
        <w:t>significantly affect a building’s electricity load</w:t>
      </w:r>
      <w:r w:rsidR="00B37E8D">
        <w:t xml:space="preserve"> profile</w:t>
      </w:r>
      <w:r w:rsidR="00635590" w:rsidRPr="00CD3DEB">
        <w:t xml:space="preserve"> when </w:t>
      </w:r>
      <w:r w:rsidR="003D6BF0">
        <w:t xml:space="preserve">the </w:t>
      </w:r>
      <w:r w:rsidR="00635590" w:rsidRPr="00CD3DEB">
        <w:t>heating, ventilating, and air conditioning (HVAC) system is controlled with on/off cycles</w:t>
      </w:r>
      <w:r w:rsidR="00635590">
        <w:rPr>
          <w:lang w:eastAsia="zh-CN"/>
        </w:rPr>
        <w:t xml:space="preserve"> or setpoint </w:t>
      </w:r>
      <w:r w:rsidR="007514E9">
        <w:rPr>
          <w:lang w:eastAsia="zh-CN"/>
        </w:rPr>
        <w:t xml:space="preserve">reset </w:t>
      </w:r>
      <w:r w:rsidR="00635590">
        <w:rPr>
          <w:lang w:eastAsia="zh-CN"/>
        </w:rPr>
        <w:t>strategies to achieve load flexibility</w:t>
      </w:r>
      <w:r w:rsidR="00C2241B">
        <w:rPr>
          <w:lang w:eastAsia="zh-CN"/>
        </w:rPr>
        <w:t xml:space="preserve"> </w:t>
      </w:r>
      <w:r w:rsidR="00C2241B">
        <w:rPr>
          <w:color w:val="000000"/>
        </w:rPr>
        <w:fldChar w:fldCharType="begin"/>
      </w:r>
      <w:r w:rsidR="00C2241B">
        <w:rPr>
          <w:color w:val="000000"/>
        </w:rPr>
        <w:instrText xml:space="preserve"> ADDIN EN.CITE &lt;EndNote&gt;&lt;Cite&gt;&lt;Author&gt;Cetin&lt;/Author&gt;&lt;Year&gt;2019&lt;/Year&gt;&lt;RecNum&gt;180&lt;/RecNum&gt;&lt;DisplayText&gt;(Cetin, Fathollahzadeh, Kunwar, Do, &amp;amp; Tabares-Velasco, 2019)&lt;/DisplayText&gt;&lt;record&gt;&lt;rec-number&gt;180&lt;/rec-number&gt;&lt;foreign-keys&gt;&lt;key app="EN" db-id="e2epp5xvs9p5skexse7xssf5tpsprs5zep5d" timestamp="1630350518"&gt;180&lt;/key&gt;&lt;/foreign-keys&gt;&lt;ref-type name="Journal Article"&gt;17&lt;/ref-type&gt;&lt;contributors&gt;&lt;authors&gt;&lt;author&gt;Cetin, Kristen S.&lt;/author&gt;&lt;author&gt;Fathollahzadeh, Mohammad Hassan&lt;/author&gt;&lt;author&gt;Kunwar, Niraj&lt;/author&gt;&lt;author&gt;Do, Huyen&lt;/author&gt;&lt;author&gt;Tabares-Velasco, Paulo Cesar&lt;/author&gt;&lt;/authors&gt;&lt;/contributors&gt;&lt;titles&gt;&lt;title&gt;Development and validation of an HVAC on/off controller in EnergyPlus for energy simulation of residential and small commercial buildings&lt;/title&gt;&lt;secondary-title&gt;Energy and Buildings&lt;/secondary-title&gt;&lt;/titles&gt;&lt;periodical&gt;&lt;full-title&gt;Energy and Buildings&lt;/full-title&gt;&lt;/periodical&gt;&lt;pages&gt;467-483&lt;/pages&gt;&lt;volume&gt;183&lt;/volume&gt;&lt;keywords&gt;&lt;keyword&gt;Residential buildings&lt;/keyword&gt;&lt;keyword&gt;EnergyPlus&lt;/keyword&gt;&lt;keyword&gt;HVAC on/off controller&lt;/keyword&gt;&lt;keyword&gt;DX cooling coil&lt;/keyword&gt;&lt;/keywords&gt;&lt;dates&gt;&lt;year&gt;2019&lt;/year&gt;&lt;pub-dates&gt;&lt;date&gt;2019/01/15/&lt;/date&gt;&lt;/pub-dates&gt;&lt;/dates&gt;&lt;isbn&gt;0378-7788&lt;/isbn&gt;&lt;urls&gt;&lt;related-urls&gt;&lt;url&gt;https://www.sciencedirect.com/science/article/pii/S0378778818323922&lt;/url&gt;&lt;/related-urls&gt;&lt;/urls&gt;&lt;electronic-resource-num&gt;https://doi.org/10.1016/j.enbuild.2018.11.005&lt;/electronic-resource-num&gt;&lt;/record&gt;&lt;/Cite&gt;&lt;/EndNote&gt;</w:instrText>
      </w:r>
      <w:r w:rsidR="00C2241B">
        <w:rPr>
          <w:color w:val="000000"/>
        </w:rPr>
        <w:fldChar w:fldCharType="separate"/>
      </w:r>
      <w:r w:rsidR="00C2241B">
        <w:rPr>
          <w:noProof/>
          <w:color w:val="000000"/>
        </w:rPr>
        <w:t>(Cetin et al., 2019)</w:t>
      </w:r>
      <w:r w:rsidR="00C2241B">
        <w:rPr>
          <w:color w:val="000000"/>
        </w:rPr>
        <w:fldChar w:fldCharType="end"/>
      </w:r>
      <w:r w:rsidR="00635590">
        <w:rPr>
          <w:lang w:eastAsia="zh-CN"/>
        </w:rPr>
        <w:t xml:space="preserve">. </w:t>
      </w:r>
      <w:r w:rsidR="00E12BB5" w:rsidRPr="00CD3DEB">
        <w:t xml:space="preserve">To </w:t>
      </w:r>
      <w:r w:rsidR="00E12BB5" w:rsidRPr="00CD3DEB">
        <w:t xml:space="preserve">accurately simulate zone temperature dynamics, </w:t>
      </w:r>
      <w:r w:rsidR="00BD39F6">
        <w:t xml:space="preserve">the effect of </w:t>
      </w:r>
      <w:r w:rsidR="00E12BB5" w:rsidRPr="00CD3DEB">
        <w:t xml:space="preserve">internal mass </w:t>
      </w:r>
      <w:r w:rsidR="00BD39F6">
        <w:t xml:space="preserve">(e.g., furniture) </w:t>
      </w:r>
      <w:r w:rsidR="00E12BB5" w:rsidRPr="00CD3DEB">
        <w:t>needs to be modeled carefully.</w:t>
      </w:r>
    </w:p>
    <w:p w14:paraId="3839A927" w14:textId="4C7B2F0A" w:rsidR="0013757D" w:rsidRPr="00D808D3" w:rsidRDefault="00701A0B" w:rsidP="005F4A72">
      <w:r>
        <w:rPr>
          <w:lang w:eastAsia="zh-CN"/>
        </w:rPr>
        <w:t>EnergyPlus</w:t>
      </w:r>
      <w:r w:rsidR="00B37E8D">
        <w:rPr>
          <w:lang w:eastAsia="zh-CN"/>
        </w:rPr>
        <w:t xml:space="preserve"> </w:t>
      </w:r>
      <w:r w:rsidR="00B37E8D">
        <w:rPr>
          <w:lang w:eastAsia="zh-CN"/>
        </w:rPr>
        <w:fldChar w:fldCharType="begin"/>
      </w:r>
      <w:r w:rsidR="00B37E8D">
        <w:rPr>
          <w:lang w:eastAsia="zh-CN"/>
        </w:rPr>
        <w:instrText xml:space="preserve"> ADDIN EN.CITE &lt;EndNote&gt;&lt;Cite&gt;&lt;Author&gt;Crawley&lt;/Author&gt;&lt;Year&gt;2001&lt;/Year&gt;&lt;RecNum&gt;173&lt;/RecNum&gt;&lt;DisplayText&gt;(Crawley et al., 2001)&lt;/DisplayText&gt;&lt;record&gt;&lt;rec-number&gt;173&lt;/rec-number&gt;&lt;foreign-keys&gt;&lt;key app="EN" db-id="e2epp5xvs9p5skexse7xssf5tpsprs5zep5d" timestamp="1629159790"&gt;173&lt;/key&gt;&lt;/foreign-keys&gt;&lt;ref-type name="Journal Article"&gt;17&lt;/ref-type&gt;&lt;contributors&gt;&lt;authors&gt;&lt;author&gt;Crawley, Drury B&lt;/author&gt;&lt;author&gt;Lawrie, Linda K&lt;/author&gt;&lt;author&gt;Winkelmann, Frederick C&lt;/author&gt;&lt;author&gt;Buhl, Walter F&lt;/author&gt;&lt;author&gt;Huang, Y Joe&lt;/author&gt;&lt;author&gt;Pedersen, Curtis O&lt;/author&gt;&lt;author&gt;Strand, Richard K&lt;/author&gt;&lt;author&gt;Liesen, Richard J&lt;/author&gt;&lt;author&gt;Fisher, Daniel E&lt;/author&gt;&lt;author&gt;Witte, Michael J&lt;/author&gt;&lt;/authors&gt;&lt;/contributors&gt;&lt;titles&gt;&lt;title&gt;EnergyPlus: creating a new-generation building energy simulation program&lt;/title&gt;&lt;secondary-title&gt;Energy and buildings&lt;/secondary-title&gt;&lt;/titles&gt;&lt;periodical&gt;&lt;full-title&gt;Energy and Buildings&lt;/full-title&gt;&lt;/periodical&gt;&lt;pages&gt;319-331&lt;/pages&gt;&lt;volume&gt;33&lt;/volume&gt;&lt;number&gt;4&lt;/number&gt;&lt;dates&gt;&lt;year&gt;2001&lt;/year&gt;&lt;/dates&gt;&lt;isbn&gt;0378-7788&lt;/isbn&gt;&lt;urls&gt;&lt;/urls&gt;&lt;/record&gt;&lt;/Cite&gt;&lt;/EndNote&gt;</w:instrText>
      </w:r>
      <w:r w:rsidR="00B37E8D">
        <w:rPr>
          <w:lang w:eastAsia="zh-CN"/>
        </w:rPr>
        <w:fldChar w:fldCharType="separate"/>
      </w:r>
      <w:r w:rsidR="00B37E8D">
        <w:rPr>
          <w:noProof/>
          <w:lang w:eastAsia="zh-CN"/>
        </w:rPr>
        <w:t>(Crawley et al., 2001)</w:t>
      </w:r>
      <w:r w:rsidR="00B37E8D">
        <w:rPr>
          <w:lang w:eastAsia="zh-CN"/>
        </w:rPr>
        <w:fldChar w:fldCharType="end"/>
      </w:r>
      <w:r w:rsidR="00F1557A">
        <w:rPr>
          <w:lang w:eastAsia="zh-CN"/>
        </w:rPr>
        <w:t xml:space="preserve"> </w:t>
      </w:r>
      <w:r>
        <w:rPr>
          <w:lang w:eastAsia="zh-CN"/>
        </w:rPr>
        <w:t xml:space="preserve">is a widely </w:t>
      </w:r>
      <w:r w:rsidR="00F1557A">
        <w:rPr>
          <w:lang w:eastAsia="zh-CN"/>
        </w:rPr>
        <w:t>used</w:t>
      </w:r>
      <w:r>
        <w:rPr>
          <w:lang w:eastAsia="zh-CN"/>
        </w:rPr>
        <w:t xml:space="preserve"> </w:t>
      </w:r>
      <w:r w:rsidR="00F1557A">
        <w:rPr>
          <w:lang w:eastAsia="zh-CN"/>
        </w:rPr>
        <w:t xml:space="preserve">whole building energy simulation program that </w:t>
      </w:r>
      <w:r w:rsidR="00746B16">
        <w:rPr>
          <w:lang w:eastAsia="zh-CN"/>
        </w:rPr>
        <w:t>can calculate</w:t>
      </w:r>
      <w:r w:rsidR="00F1557A">
        <w:rPr>
          <w:lang w:eastAsia="zh-CN"/>
        </w:rPr>
        <w:t xml:space="preserve"> building heating and cooling loads and energy consumption. </w:t>
      </w:r>
      <w:r w:rsidR="00BD2B51">
        <w:t>It provides</w:t>
      </w:r>
      <w:r w:rsidR="00E12BB5" w:rsidRPr="00CD3DEB">
        <w:t xml:space="preserve"> two internal mass modeling approaches</w:t>
      </w:r>
      <w:r w:rsidR="004B3F61">
        <w:t xml:space="preserve"> </w:t>
      </w:r>
      <w:r w:rsidR="004B3F61">
        <w:fldChar w:fldCharType="begin"/>
      </w:r>
      <w:r w:rsidR="004B3F61">
        <w:instrText xml:space="preserve"> ADDIN EN.CITE &lt;EndNote&gt;&lt;Cite&gt;&lt;Author&gt;U.S. Department of Energy&lt;/Author&gt;&lt;Year&gt;2020&lt;/Year&gt;&lt;RecNum&gt;232&lt;/RecNum&gt;&lt;DisplayText&gt;(U.S. Department of Energy, 2020b)&lt;/DisplayText&gt;&lt;record&gt;&lt;rec-number&gt;232&lt;/rec-number&gt;&lt;foreign-keys&gt;&lt;key app="EN" db-id="e2epp5xvs9p5skexse7xssf5tpsprs5zep5d" timestamp="1642980937"&gt;232&lt;/key&gt;&lt;/foreign-keys&gt;&lt;ref-type name="Web Page"&gt;12&lt;/ref-type&gt;&lt;contributors&gt;&lt;authors&gt;&lt;author&gt;U.S. Department of Energy,&lt;/author&gt;&lt;/authors&gt;&lt;/contributors&gt;&lt;titles&gt;&lt;title&gt;Internal thermal mass hybrid modeling method&lt;/title&gt;&lt;secondary-title&gt;Engineering Reference - EnergyPlus 9.3&lt;/secondary-title&gt;&lt;/titles&gt;&lt;dates&gt;&lt;year&gt;2020&lt;/year&gt;&lt;/dates&gt;&lt;urls&gt;&lt;related-urls&gt;&lt;url&gt;https://bigladdersoftware.com/epx/docs/9-3/engineering-reference/basis-for-the-zone-and-air-system-integration.html#basis-for-the-zone-and-air-system-integration&lt;/url&gt;&lt;/related-urls&gt;&lt;/urls&gt;&lt;/record&gt;&lt;/Cite&gt;&lt;/EndNote&gt;</w:instrText>
      </w:r>
      <w:r w:rsidR="004B3F61">
        <w:fldChar w:fldCharType="separate"/>
      </w:r>
      <w:r w:rsidR="004B3F61">
        <w:rPr>
          <w:noProof/>
        </w:rPr>
        <w:t>(U.S. Department of Energy, 2020b)</w:t>
      </w:r>
      <w:r w:rsidR="004B3F61">
        <w:fldChar w:fldCharType="end"/>
      </w:r>
      <w:r w:rsidR="00EB18F7">
        <w:t>: (</w:t>
      </w:r>
      <w:proofErr w:type="spellStart"/>
      <w:r w:rsidR="00F74AF6">
        <w:t>i</w:t>
      </w:r>
      <w:proofErr w:type="spellEnd"/>
      <w:r w:rsidR="00EB18F7">
        <w:t>)</w:t>
      </w:r>
      <w:r w:rsidR="00E12BB5" w:rsidRPr="00CD3DEB">
        <w:t xml:space="preserve"> </w:t>
      </w:r>
      <w:r w:rsidR="00B13059">
        <w:t>specify</w:t>
      </w:r>
      <w:r w:rsidR="004B3F61">
        <w:t xml:space="preserve"> internal mass</w:t>
      </w:r>
      <w:r w:rsidR="00FB02A8">
        <w:t xml:space="preserve"> </w:t>
      </w:r>
      <w:r w:rsidR="004B3F61">
        <w:t xml:space="preserve">as </w:t>
      </w:r>
      <w:r w:rsidR="00BD39F6">
        <w:t xml:space="preserve">internal surfaces that participate in </w:t>
      </w:r>
      <w:r w:rsidR="00AA2B58">
        <w:t>radiative</w:t>
      </w:r>
      <w:r w:rsidR="00BD39F6">
        <w:t xml:space="preserve"> and </w:t>
      </w:r>
      <w:r w:rsidR="00AA2B58">
        <w:t>convective</w:t>
      </w:r>
      <w:r w:rsidR="00BD39F6">
        <w:t xml:space="preserve"> heat exchanges</w:t>
      </w:r>
      <w:r w:rsidR="00447683">
        <w:t xml:space="preserve"> </w:t>
      </w:r>
      <w:r w:rsidR="004B3F61">
        <w:t xml:space="preserve">using the </w:t>
      </w:r>
      <w:r w:rsidR="00E12BB5">
        <w:t>InternalMass</w:t>
      </w:r>
      <w:r w:rsidR="00E12BB5" w:rsidRPr="00CD3DEB">
        <w:t xml:space="preserve"> object</w:t>
      </w:r>
      <w:r w:rsidR="00F74AF6">
        <w:t xml:space="preserve"> </w:t>
      </w:r>
      <w:r w:rsidR="001A442C">
        <w:t xml:space="preserve">(in which the </w:t>
      </w:r>
      <w:r w:rsidR="00323D58">
        <w:t>internal mass area and material are specified</w:t>
      </w:r>
      <w:r w:rsidR="001A442C">
        <w:t xml:space="preserve">) </w:t>
      </w:r>
      <w:r w:rsidR="00E12BB5" w:rsidRPr="00CD3DEB">
        <w:t xml:space="preserve">and </w:t>
      </w:r>
      <w:r w:rsidR="00EB18F7">
        <w:t>(</w:t>
      </w:r>
      <w:r w:rsidR="00F74AF6">
        <w:t>ii</w:t>
      </w:r>
      <w:r w:rsidR="00EB18F7">
        <w:t>)</w:t>
      </w:r>
      <w:r w:rsidR="004B3F61">
        <w:t xml:space="preserve"> </w:t>
      </w:r>
      <w:r w:rsidR="00B13059">
        <w:t xml:space="preserve">specify </w:t>
      </w:r>
      <w:r w:rsidR="004B3F61">
        <w:t>internal mass by chang</w:t>
      </w:r>
      <w:r w:rsidR="00746B16">
        <w:t>ing</w:t>
      </w:r>
      <w:r w:rsidR="004B3F61">
        <w:t xml:space="preserve"> zone air capacitance using</w:t>
      </w:r>
      <w:r w:rsidR="00EB18F7">
        <w:t xml:space="preserve"> </w:t>
      </w:r>
      <w:r w:rsidR="00E00888">
        <w:t xml:space="preserve">the </w:t>
      </w:r>
      <w:r w:rsidR="00EB18F7">
        <w:t>temperature capacity multiplier</w:t>
      </w:r>
      <w:r w:rsidR="00E12BB5">
        <w:t xml:space="preserve"> </w:t>
      </w:r>
      <w:r w:rsidR="006F7E1E">
        <w:t xml:space="preserve">of </w:t>
      </w:r>
      <w:r w:rsidR="00E12BB5">
        <w:t xml:space="preserve">the </w:t>
      </w:r>
      <w:proofErr w:type="spellStart"/>
      <w:r w:rsidR="00362E48" w:rsidRPr="00362E48">
        <w:t>ZoneCapacitanceMultiplier:ResearchSpecial</w:t>
      </w:r>
      <w:proofErr w:type="spellEnd"/>
      <w:r w:rsidR="00362E48">
        <w:t xml:space="preserve"> object</w:t>
      </w:r>
      <w:r w:rsidR="00BD2B51">
        <w:t>.</w:t>
      </w:r>
      <w:r w:rsidR="0086252F">
        <w:t xml:space="preserve"> </w:t>
      </w:r>
      <w:r w:rsidR="006E087C" w:rsidRPr="006E087C">
        <w:t xml:space="preserve">These two </w:t>
      </w:r>
      <w:r w:rsidR="004B3F61">
        <w:t>approaches</w:t>
      </w:r>
      <w:r w:rsidR="006E087C" w:rsidRPr="006E087C">
        <w:t xml:space="preserve"> have been </w:t>
      </w:r>
      <w:r w:rsidR="008B4DFC">
        <w:t>discussed</w:t>
      </w:r>
      <w:r w:rsidR="008B4DFC" w:rsidRPr="006E087C">
        <w:t xml:space="preserve"> </w:t>
      </w:r>
      <w:r w:rsidR="006E087C" w:rsidRPr="006E087C">
        <w:t>in several studies.</w:t>
      </w:r>
      <w:r w:rsidR="006E087C">
        <w:t xml:space="preserve"> </w:t>
      </w:r>
      <w:r w:rsidR="00E47566">
        <w:fldChar w:fldCharType="begin"/>
      </w:r>
      <w:r w:rsidR="00D471B9">
        <w:instrText xml:space="preserve"> ADDIN EN.CITE &lt;EndNote&gt;&lt;Cite&gt;&lt;Author&gt;Raftery&lt;/Author&gt;&lt;Year&gt;2014&lt;/Year&gt;&lt;RecNum&gt;138&lt;/RecNum&gt;&lt;DisplayText&gt;(Raftery, Lee, Webster, Hoyt, &amp;amp; Bauman, 2014)&lt;/DisplayText&gt;&lt;record&gt;&lt;rec-number&gt;138&lt;/rec-number&gt;&lt;foreign-keys&gt;&lt;key app="EN" db-id="e2epp5xvs9p5skexse7xssf5tpsprs5zep5d" timestamp="1616773158"&gt;138&lt;/key&gt;&lt;/foreign-keys&gt;&lt;ref-type name="Journal Article"&gt;17&lt;/ref-type&gt;&lt;contributors&gt;&lt;authors&gt;&lt;author&gt;Raftery, Paul&lt;/author&gt;&lt;author&gt;Lee, Edwin&lt;/author&gt;&lt;author&gt;Webster, Tom&lt;/author&gt;&lt;author&gt;Hoyt, Tyler&lt;/author&gt;&lt;author&gt;Bauman, Fred&lt;/author&gt;&lt;/authors&gt;&lt;/contributors&gt;&lt;titles&gt;&lt;title&gt;Effects of furniture and contents on peak cooling load&lt;/title&gt;&lt;secondary-title&gt;Energy and Buildings&lt;/secondary-title&gt;&lt;/titles&gt;&lt;periodical&gt;&lt;full-title&gt;Energy and Buildings&lt;/full-title&gt;&lt;/periodical&gt;&lt;pages&gt;445-457&lt;/pages&gt;&lt;volume&gt;85&lt;/volume&gt;&lt;dates&gt;&lt;year&gt;2014&lt;/year&gt;&lt;/dates&gt;&lt;isbn&gt;0378-7788&lt;/isbn&gt;&lt;urls&gt;&lt;/urls&gt;&lt;/record&gt;&lt;/Cite&gt;&lt;/EndNote&gt;</w:instrText>
      </w:r>
      <w:r w:rsidR="00E47566">
        <w:fldChar w:fldCharType="separate"/>
      </w:r>
      <w:r w:rsidR="00D471B9">
        <w:rPr>
          <w:noProof/>
        </w:rPr>
        <w:t>Raftery</w:t>
      </w:r>
      <w:r w:rsidR="008B4DFC">
        <w:rPr>
          <w:noProof/>
        </w:rPr>
        <w:t xml:space="preserve"> et al.</w:t>
      </w:r>
      <w:r w:rsidR="00D471B9">
        <w:rPr>
          <w:noProof/>
        </w:rPr>
        <w:t xml:space="preserve"> </w:t>
      </w:r>
      <w:r w:rsidR="00C74427">
        <w:rPr>
          <w:noProof/>
        </w:rPr>
        <w:t>(</w:t>
      </w:r>
      <w:r w:rsidR="00D471B9">
        <w:rPr>
          <w:noProof/>
        </w:rPr>
        <w:t>2014)</w:t>
      </w:r>
      <w:r w:rsidR="00E47566">
        <w:fldChar w:fldCharType="end"/>
      </w:r>
      <w:r w:rsidR="00E47566">
        <w:t xml:space="preserve"> assessed the impact of furniture and contents (i.e., internal mass) on the zone peak cooling loads. They performed 5400 parametric simulation runs to show how the parameters </w:t>
      </w:r>
      <w:r w:rsidR="00EB18F7">
        <w:t>specified in the InternalMass object affect peak cooling load</w:t>
      </w:r>
      <w:r w:rsidR="00621D82">
        <w:t>. Through this approach, the peak cooling load is found to be changed by a median value of -2.28</w:t>
      </w:r>
      <w:r w:rsidR="00B8527E">
        <w:t xml:space="preserve"> </w:t>
      </w:r>
      <w:r w:rsidR="00621D82">
        <w:t xml:space="preserve">% across the studied parameter space. </w:t>
      </w:r>
      <w:r w:rsidR="00621D82">
        <w:fldChar w:fldCharType="begin"/>
      </w:r>
      <w:r w:rsidR="00D471B9">
        <w:instrText xml:space="preserve"> ADDIN EN.CITE &lt;EndNote&gt;&lt;Cite&gt;&lt;Author&gt;Lee&lt;/Author&gt;&lt;Year&gt;2017&lt;/Year&gt;&lt;RecNum&gt;181&lt;/RecNum&gt;&lt;DisplayText&gt;(Lee &amp;amp; Hong, 2017)&lt;/DisplayText&gt;&lt;record&gt;&lt;rec-number&gt;181&lt;/rec-number&gt;&lt;foreign-keys&gt;&lt;key app="EN" db-id="e2epp5xvs9p5skexse7xssf5tpsprs5zep5d" timestamp="1630350891"&gt;181&lt;/key&gt;&lt;/foreign-keys&gt;&lt;ref-type name="Conference Proceedings"&gt;10&lt;/ref-type&gt;&lt;contributors&gt;&lt;authors&gt;&lt;author&gt;Lee, San Hoon&lt;/author&gt;&lt;author&gt;Hong, Tianzhen&lt;/author&gt;&lt;/authors&gt;&lt;/contributors&gt;&lt;titles&gt;&lt;title&gt;Leveraging zone air temperature data to improve physics-based energy simulation of existing buildings&lt;/title&gt;&lt;secondary-title&gt;15th IBPSA Conference San Francisco, CA, USA, Aug. 7-9, 2017&lt;/secondary-title&gt;&lt;/titles&gt;&lt;dates&gt;&lt;year&gt;2017&lt;/year&gt;&lt;/dates&gt;&lt;urls&gt;&lt;/urls&gt;&lt;/record&gt;&lt;/Cite&gt;&lt;/EndNote&gt;</w:instrText>
      </w:r>
      <w:r w:rsidR="00621D82">
        <w:fldChar w:fldCharType="separate"/>
      </w:r>
      <w:r w:rsidR="00D471B9">
        <w:rPr>
          <w:noProof/>
        </w:rPr>
        <w:t xml:space="preserve">Lee </w:t>
      </w:r>
      <w:r w:rsidR="00C74427">
        <w:rPr>
          <w:noProof/>
        </w:rPr>
        <w:t>and</w:t>
      </w:r>
      <w:r w:rsidR="00D471B9">
        <w:rPr>
          <w:noProof/>
        </w:rPr>
        <w:t xml:space="preserve"> Hong </w:t>
      </w:r>
      <w:r w:rsidR="00C74427">
        <w:rPr>
          <w:noProof/>
        </w:rPr>
        <w:t>(</w:t>
      </w:r>
      <w:r w:rsidR="00D471B9">
        <w:rPr>
          <w:noProof/>
        </w:rPr>
        <w:t>2017)</w:t>
      </w:r>
      <w:r w:rsidR="00621D82">
        <w:fldChar w:fldCharType="end"/>
      </w:r>
      <w:r w:rsidR="00621D82">
        <w:t xml:space="preserve"> </w:t>
      </w:r>
      <w:r w:rsidR="00621D82">
        <w:rPr>
          <w:color w:val="000000"/>
        </w:rPr>
        <w:t xml:space="preserve">introduced an inverse algorithm for the determination </w:t>
      </w:r>
      <w:r w:rsidR="00CA1C25">
        <w:rPr>
          <w:color w:val="000000"/>
        </w:rPr>
        <w:t xml:space="preserve">of </w:t>
      </w:r>
      <w:r w:rsidR="00621D82">
        <w:rPr>
          <w:color w:val="000000"/>
        </w:rPr>
        <w:t>the temperature capacity multiplier to reflect different amount</w:t>
      </w:r>
      <w:r w:rsidR="0077234A">
        <w:rPr>
          <w:color w:val="000000"/>
        </w:rPr>
        <w:t>s</w:t>
      </w:r>
      <w:r w:rsidR="00621D82">
        <w:rPr>
          <w:color w:val="000000"/>
        </w:rPr>
        <w:t xml:space="preserve"> of internal mass. </w:t>
      </w:r>
      <w:r w:rsidR="00626440">
        <w:rPr>
          <w:color w:val="000000"/>
        </w:rPr>
        <w:t xml:space="preserve">HVAC system operational data as well as </w:t>
      </w:r>
      <w:r w:rsidR="00F90DE9">
        <w:rPr>
          <w:color w:val="000000"/>
        </w:rPr>
        <w:t xml:space="preserve">detailed zone measurements, such as zone surface temperatures, infiltration air flow rates, </w:t>
      </w:r>
      <w:r w:rsidR="00C64D1B">
        <w:rPr>
          <w:color w:val="000000"/>
        </w:rPr>
        <w:t xml:space="preserve">and </w:t>
      </w:r>
      <w:r w:rsidR="00F90DE9">
        <w:rPr>
          <w:color w:val="000000"/>
        </w:rPr>
        <w:t xml:space="preserve">internal heat gains, are used for the determination of the multiplier. </w:t>
      </w:r>
      <w:r w:rsidR="00621D82">
        <w:rPr>
          <w:color w:val="000000"/>
        </w:rPr>
        <w:t xml:space="preserve">They suggested multipliers 3-6 for </w:t>
      </w:r>
      <w:r w:rsidR="00626440">
        <w:rPr>
          <w:color w:val="000000"/>
        </w:rPr>
        <w:t>light offices</w:t>
      </w:r>
      <w:r w:rsidR="00621D82">
        <w:rPr>
          <w:color w:val="000000"/>
        </w:rPr>
        <w:t xml:space="preserve">, 6-10 </w:t>
      </w:r>
      <w:r w:rsidR="00626440">
        <w:rPr>
          <w:color w:val="000000"/>
        </w:rPr>
        <w:t>for typical offices</w:t>
      </w:r>
      <w:r w:rsidR="00621D82">
        <w:rPr>
          <w:color w:val="000000"/>
        </w:rPr>
        <w:t xml:space="preserve">, and 10-15 for </w:t>
      </w:r>
      <w:r w:rsidR="00626440">
        <w:rPr>
          <w:color w:val="000000"/>
        </w:rPr>
        <w:t>heavy mass offices</w:t>
      </w:r>
      <w:r w:rsidR="00621D82">
        <w:rPr>
          <w:color w:val="000000"/>
        </w:rPr>
        <w:t>.</w:t>
      </w:r>
      <w:r w:rsidR="00E55095">
        <w:rPr>
          <w:color w:val="000000"/>
        </w:rPr>
        <w:t xml:space="preserve"> </w:t>
      </w:r>
      <w:r w:rsidR="00E55095">
        <w:rPr>
          <w:color w:val="000000"/>
        </w:rPr>
        <w:fldChar w:fldCharType="begin"/>
      </w:r>
      <w:r w:rsidR="00D471B9">
        <w:rPr>
          <w:color w:val="000000"/>
        </w:rPr>
        <w:instrText xml:space="preserve"> ADDIN EN.CITE &lt;EndNote&gt;&lt;Cite&gt;&lt;Author&gt;Cetin&lt;/Author&gt;&lt;Year&gt;2019&lt;/Year&gt;&lt;RecNum&gt;180&lt;/RecNum&gt;&lt;DisplayText&gt;(Cetin, Fathollahzadeh, Kunwar, Do, &amp;amp; Tabares-Velasco, 2019)&lt;/DisplayText&gt;&lt;record&gt;&lt;rec-number&gt;180&lt;/rec-number&gt;&lt;foreign-keys&gt;&lt;key app="EN" db-id="e2epp5xvs9p5skexse7xssf5tpsprs5zep5d" timestamp="1630350518"&gt;180&lt;/key&gt;&lt;/foreign-keys&gt;&lt;ref-type name="Journal Article"&gt;17&lt;/ref-type&gt;&lt;contributors&gt;&lt;authors&gt;&lt;author&gt;Cetin, Kristen S.&lt;/author&gt;&lt;author&gt;Fathollahzadeh, Mohammad Hassan&lt;/author&gt;&lt;author&gt;Kunwar, Niraj&lt;/author&gt;&lt;author&gt;Do, Huyen&lt;/author&gt;&lt;author&gt;Tabares-Velasco, Paulo Cesar&lt;/author&gt;&lt;/authors&gt;&lt;/contributors&gt;&lt;titles&gt;&lt;title&gt;Development and validation of an HVAC on/off controller in EnergyPlus for energy simulation of residential and small commercial buildings&lt;/title&gt;&lt;secondary-title&gt;Energy and Buildings&lt;/secondary-title&gt;&lt;/titles&gt;&lt;periodical&gt;&lt;full-title&gt;Energy and Buildings&lt;/full-title&gt;&lt;/periodical&gt;&lt;pages&gt;467-483&lt;/pages&gt;&lt;volume&gt;183&lt;/volume&gt;&lt;keywords&gt;&lt;keyword&gt;Residential buildings&lt;/keyword&gt;&lt;keyword&gt;EnergyPlus&lt;/keyword&gt;&lt;keyword&gt;HVAC on/off controller&lt;/keyword&gt;&lt;keyword&gt;DX cooling coil&lt;/keyword&gt;&lt;/keywords&gt;&lt;dates&gt;&lt;year&gt;2019&lt;/year&gt;&lt;pub-dates&gt;&lt;date&gt;2019/01/15/&lt;/date&gt;&lt;/pub-dates&gt;&lt;/dates&gt;&lt;isbn&gt;0378-7788&lt;/isbn&gt;&lt;urls&gt;&lt;related-urls&gt;&lt;url&gt;https://www.sciencedirect.com/science/article/pii/S0378778818323922&lt;/url&gt;&lt;/related-urls&gt;&lt;/urls&gt;&lt;electronic-resource-num&gt;https://doi.org/10.1016/j.enbuild.2018.11.005&lt;/electronic-resource-num&gt;&lt;/record&gt;&lt;/Cite&gt;&lt;/EndNote&gt;</w:instrText>
      </w:r>
      <w:r w:rsidR="00E55095">
        <w:rPr>
          <w:color w:val="000000"/>
        </w:rPr>
        <w:fldChar w:fldCharType="separate"/>
      </w:r>
      <w:r w:rsidR="00D471B9">
        <w:rPr>
          <w:noProof/>
          <w:color w:val="000000"/>
        </w:rPr>
        <w:t>Cetin</w:t>
      </w:r>
      <w:r w:rsidR="00A05A25">
        <w:rPr>
          <w:noProof/>
          <w:color w:val="000000"/>
        </w:rPr>
        <w:t xml:space="preserve"> et al.</w:t>
      </w:r>
      <w:r w:rsidR="00D471B9">
        <w:rPr>
          <w:noProof/>
          <w:color w:val="000000"/>
        </w:rPr>
        <w:t xml:space="preserve"> </w:t>
      </w:r>
      <w:r w:rsidR="00C74427">
        <w:rPr>
          <w:noProof/>
          <w:color w:val="000000"/>
        </w:rPr>
        <w:t>(</w:t>
      </w:r>
      <w:r w:rsidR="00D471B9">
        <w:rPr>
          <w:noProof/>
          <w:color w:val="000000"/>
        </w:rPr>
        <w:t>2019)</w:t>
      </w:r>
      <w:r w:rsidR="00E55095">
        <w:rPr>
          <w:color w:val="000000"/>
        </w:rPr>
        <w:fldChar w:fldCharType="end"/>
      </w:r>
      <w:r w:rsidR="00E55095">
        <w:rPr>
          <w:color w:val="000000"/>
        </w:rPr>
        <w:t xml:space="preserve"> employed both internal mass modeling approaches in their development and validation of an HVAC on/off controller using EnergyPlus</w:t>
      </w:r>
      <w:r w:rsidR="00B5789E">
        <w:rPr>
          <w:color w:val="000000"/>
        </w:rPr>
        <w:t xml:space="preserve"> </w:t>
      </w:r>
      <w:r w:rsidR="00B5789E" w:rsidRPr="00B5789E">
        <w:rPr>
          <w:color w:val="000000"/>
        </w:rPr>
        <w:t>for energy simulation of residential and small commercial buildings</w:t>
      </w:r>
      <w:r w:rsidR="00B5789E">
        <w:rPr>
          <w:color w:val="000000"/>
        </w:rPr>
        <w:t xml:space="preserve">. The parameters used in the InternalMass object were adopted </w:t>
      </w:r>
      <w:r w:rsidR="001450D6">
        <w:rPr>
          <w:color w:val="000000"/>
        </w:rPr>
        <w:t xml:space="preserve">from the </w:t>
      </w:r>
      <w:r w:rsidR="001450D6" w:rsidRPr="001450D6">
        <w:rPr>
          <w:color w:val="000000"/>
        </w:rPr>
        <w:t>Building America House Simulation Protocols</w:t>
      </w:r>
      <w:r w:rsidR="001450D6">
        <w:rPr>
          <w:color w:val="000000"/>
        </w:rPr>
        <w:t xml:space="preserve"> and a </w:t>
      </w:r>
      <w:r w:rsidR="00E93B5A">
        <w:rPr>
          <w:color w:val="000000"/>
        </w:rPr>
        <w:t>value of 3.6 for</w:t>
      </w:r>
      <w:r w:rsidR="001450D6">
        <w:rPr>
          <w:color w:val="000000"/>
        </w:rPr>
        <w:t xml:space="preserve"> temperature capacity multiplier</w:t>
      </w:r>
      <w:r w:rsidR="00E93B5A">
        <w:rPr>
          <w:color w:val="000000"/>
        </w:rPr>
        <w:t>s</w:t>
      </w:r>
      <w:r w:rsidR="001450D6">
        <w:rPr>
          <w:color w:val="000000"/>
        </w:rPr>
        <w:t xml:space="preserve"> was </w:t>
      </w:r>
      <w:r w:rsidR="00E93B5A">
        <w:rPr>
          <w:color w:val="000000"/>
        </w:rPr>
        <w:t xml:space="preserve">determined through trial and error by comparing the cooling coil cycles of the simulation data and the field-collected data. </w:t>
      </w:r>
    </w:p>
    <w:p w14:paraId="7A2F2C5E" w14:textId="4FBA5C6A" w:rsidR="008B4DFC" w:rsidRDefault="007A5733" w:rsidP="005F4A72">
      <w:r w:rsidRPr="007A5733">
        <w:t xml:space="preserve">Although the two </w:t>
      </w:r>
      <w:r w:rsidR="00E93B5A">
        <w:t>approaches</w:t>
      </w:r>
      <w:r w:rsidRPr="007A5733">
        <w:t xml:space="preserve"> </w:t>
      </w:r>
      <w:r w:rsidR="00B8527E">
        <w:t xml:space="preserve">have been widely </w:t>
      </w:r>
      <w:r w:rsidR="008B4DFC">
        <w:t>used in existing studies</w:t>
      </w:r>
      <w:r w:rsidRPr="007A5733">
        <w:t xml:space="preserve">, there </w:t>
      </w:r>
      <w:r w:rsidR="008B4DFC">
        <w:t>is</w:t>
      </w:r>
      <w:r w:rsidRPr="007A5733">
        <w:t xml:space="preserve"> a lack of insight into the </w:t>
      </w:r>
      <w:r w:rsidR="008B4DFC">
        <w:t xml:space="preserve">impact of these two approaches on the dynamics of zone temperature, </w:t>
      </w:r>
      <w:r w:rsidR="008B4DFC">
        <w:lastRenderedPageBreak/>
        <w:t>which further affects load</w:t>
      </w:r>
      <w:r w:rsidR="007514E9">
        <w:t xml:space="preserve"> profile</w:t>
      </w:r>
      <w:r w:rsidR="008B4DFC">
        <w:t xml:space="preserve"> and energy consumption</w:t>
      </w:r>
      <w:r w:rsidRPr="007A5733">
        <w:t xml:space="preserve">. </w:t>
      </w:r>
      <w:r w:rsidR="006F52B6">
        <w:t xml:space="preserve">In </w:t>
      </w:r>
      <w:r w:rsidR="008B4DFC">
        <w:t>the past</w:t>
      </w:r>
      <w:r w:rsidR="006F52B6">
        <w:t xml:space="preserve">, </w:t>
      </w:r>
      <w:r w:rsidR="008B4DFC">
        <w:t xml:space="preserve">energy simulation models such as </w:t>
      </w:r>
      <w:r w:rsidR="006F52B6">
        <w:t xml:space="preserve">EnergyPlus is often used for energy consumption calculations with </w:t>
      </w:r>
      <w:r w:rsidR="009F37AC">
        <w:t>large timesteps (e.g., hour, or 15-minute)</w:t>
      </w:r>
      <w:r w:rsidR="006F52B6">
        <w:t xml:space="preserve"> </w:t>
      </w:r>
      <w:r w:rsidR="009F37AC">
        <w:t xml:space="preserve">where the fast dynamic is neglected. </w:t>
      </w:r>
      <w:r w:rsidR="00527D67">
        <w:t>Consequently,</w:t>
      </w:r>
      <w:r w:rsidR="009F37AC">
        <w:t xml:space="preserve"> the two different internal mass modeling approaches</w:t>
      </w:r>
      <w:r w:rsidR="00527D67">
        <w:t xml:space="preserve"> </w:t>
      </w:r>
      <w:r w:rsidR="00623305" w:rsidRPr="00623305">
        <w:t>have received little attention</w:t>
      </w:r>
      <w:r w:rsidR="009F37AC">
        <w:t xml:space="preserve">, because </w:t>
      </w:r>
      <w:r w:rsidR="005C460C">
        <w:t xml:space="preserve">the </w:t>
      </w:r>
      <w:r w:rsidR="009F37AC">
        <w:t xml:space="preserve">InternalMass object is sufficient to capture the </w:t>
      </w:r>
      <w:r w:rsidR="00527D67">
        <w:t>“</w:t>
      </w:r>
      <w:r w:rsidR="009F37AC">
        <w:t>long-term effect</w:t>
      </w:r>
      <w:r w:rsidR="00527D67">
        <w:t>”</w:t>
      </w:r>
      <w:r w:rsidR="009F37AC">
        <w:t xml:space="preserve"> </w:t>
      </w:r>
      <w:r w:rsidR="00527D67">
        <w:t xml:space="preserve">(which will be further explained in the following sections) </w:t>
      </w:r>
      <w:r w:rsidR="009F37AC">
        <w:t xml:space="preserve">of the internal mass in slow dynamics. </w:t>
      </w:r>
      <w:r w:rsidR="008B4DFC">
        <w:t>However, when energy simulation models (</w:t>
      </w:r>
      <w:proofErr w:type="gramStart"/>
      <w:r w:rsidR="008B4DFC">
        <w:t>i.e..</w:t>
      </w:r>
      <w:proofErr w:type="gramEnd"/>
      <w:r w:rsidR="008B4DFC">
        <w:t xml:space="preserve"> EnergyPlus), is used for studying the dynamics of a building system, such as load flexibility, systematically understanding how these two internal mass modeling approaches affect zone temperature dynamics is very important.</w:t>
      </w:r>
    </w:p>
    <w:p w14:paraId="575FBF51" w14:textId="6E66B0BB" w:rsidR="007A5733" w:rsidRDefault="00623305" w:rsidP="005F4A72">
      <w:r>
        <w:t>I</w:t>
      </w:r>
      <w:r w:rsidR="005C098C" w:rsidRPr="005C098C">
        <w:t xml:space="preserve">n this paper, we </w:t>
      </w:r>
      <w:r w:rsidR="005C098C">
        <w:t>aim to</w:t>
      </w:r>
      <w:r w:rsidR="005C098C" w:rsidRPr="005C098C">
        <w:t xml:space="preserve"> deepen the reader</w:t>
      </w:r>
      <w:r w:rsidR="00D808D3">
        <w:t>s’</w:t>
      </w:r>
      <w:r w:rsidR="005C098C" w:rsidRPr="005C098C">
        <w:t xml:space="preserve"> understanding of the internal mass modeling approach </w:t>
      </w:r>
      <w:r w:rsidR="005C098C">
        <w:t>through heat balance equation analysis</w:t>
      </w:r>
      <w:r w:rsidR="005C098C" w:rsidRPr="005C098C">
        <w:t>, parameter analysis, and numerical experiments</w:t>
      </w:r>
      <w:r w:rsidR="00C30EBB">
        <w:t xml:space="preserve">, </w:t>
      </w:r>
      <w:r w:rsidR="00C30EBB" w:rsidRPr="00C30EBB">
        <w:t xml:space="preserve">especially for those who use EnergyPlus to simulate </w:t>
      </w:r>
      <w:r w:rsidR="00F32EA3">
        <w:t xml:space="preserve">the </w:t>
      </w:r>
      <w:r w:rsidR="00C30EBB" w:rsidRPr="00C30EBB">
        <w:t>fast dynamics</w:t>
      </w:r>
      <w:r w:rsidR="00C30EBB">
        <w:t xml:space="preserve"> </w:t>
      </w:r>
      <w:r w:rsidR="00F32EA3">
        <w:t>of</w:t>
      </w:r>
      <w:r w:rsidR="00C30EBB">
        <w:t xml:space="preserve"> HVAC system</w:t>
      </w:r>
      <w:r w:rsidR="009B1D64">
        <w:t>s</w:t>
      </w:r>
      <w:r w:rsidR="00C30EBB">
        <w:t xml:space="preserve"> controlled with on/off cycling and setpoint reset strategies</w:t>
      </w:r>
      <w:r w:rsidR="006E087C">
        <w:t>.</w:t>
      </w:r>
      <w:r w:rsidR="008B4DFC">
        <w:t xml:space="preserve"> The insights from this paper will help researchers to select the suitable internal mass modeling approach.   </w:t>
      </w:r>
    </w:p>
    <w:p w14:paraId="6ED680F9" w14:textId="61485978" w:rsidR="00362E48" w:rsidRPr="00635590" w:rsidRDefault="00362E48" w:rsidP="005F4A72">
      <w:pPr>
        <w:rPr>
          <w:lang w:eastAsia="zh-CN"/>
        </w:rPr>
      </w:pPr>
      <w:r w:rsidRPr="00362E48">
        <w:rPr>
          <w:lang w:eastAsia="zh-CN"/>
        </w:rPr>
        <w:t xml:space="preserve">This paper is organized as follows: </w:t>
      </w:r>
      <w:r w:rsidR="00231C04" w:rsidRPr="00231C04">
        <w:rPr>
          <w:lang w:eastAsia="zh-CN"/>
        </w:rPr>
        <w:t xml:space="preserve">the heat balance equation of the room </w:t>
      </w:r>
      <w:r w:rsidR="008B4DFC">
        <w:rPr>
          <w:lang w:eastAsia="zh-CN"/>
        </w:rPr>
        <w:t>is firstly analyzed</w:t>
      </w:r>
      <w:r w:rsidR="00DB1575">
        <w:rPr>
          <w:lang w:eastAsia="zh-CN"/>
        </w:rPr>
        <w:t>;</w:t>
      </w:r>
      <w:r w:rsidR="008B4DFC">
        <w:rPr>
          <w:lang w:eastAsia="zh-CN"/>
        </w:rPr>
        <w:t xml:space="preserve">  </w:t>
      </w:r>
      <w:r w:rsidR="00DB1575">
        <w:rPr>
          <w:lang w:eastAsia="zh-CN"/>
        </w:rPr>
        <w:t>t</w:t>
      </w:r>
      <w:r w:rsidR="00231C04" w:rsidRPr="00231C04">
        <w:rPr>
          <w:lang w:eastAsia="zh-CN"/>
        </w:rPr>
        <w:t>he role</w:t>
      </w:r>
      <w:r w:rsidR="00DB3BFF">
        <w:rPr>
          <w:lang w:eastAsia="zh-CN"/>
        </w:rPr>
        <w:t>s</w:t>
      </w:r>
      <w:r w:rsidR="00231C04" w:rsidRPr="00231C04">
        <w:rPr>
          <w:lang w:eastAsia="zh-CN"/>
        </w:rPr>
        <w:t xml:space="preserve"> </w:t>
      </w:r>
      <w:r w:rsidR="00231C04">
        <w:rPr>
          <w:rFonts w:hint="eastAsia"/>
          <w:lang w:eastAsia="zh-CN"/>
        </w:rPr>
        <w:t>o</w:t>
      </w:r>
      <w:r w:rsidR="00231C04">
        <w:rPr>
          <w:lang w:eastAsia="zh-CN"/>
        </w:rPr>
        <w:t xml:space="preserve">f the two internal mass modeling </w:t>
      </w:r>
      <w:r w:rsidR="00D808D3">
        <w:rPr>
          <w:lang w:eastAsia="zh-CN"/>
        </w:rPr>
        <w:t>approaches</w:t>
      </w:r>
      <w:r w:rsidR="00231C04">
        <w:rPr>
          <w:lang w:eastAsia="zh-CN"/>
        </w:rPr>
        <w:t xml:space="preserve"> </w:t>
      </w:r>
      <w:r w:rsidR="00231C04" w:rsidRPr="00231C04">
        <w:rPr>
          <w:lang w:eastAsia="zh-CN"/>
        </w:rPr>
        <w:t>in the heat balance equation</w:t>
      </w:r>
      <w:r w:rsidR="008B4DFC">
        <w:rPr>
          <w:lang w:eastAsia="zh-CN"/>
        </w:rPr>
        <w:t xml:space="preserve"> are illustrated</w:t>
      </w:r>
      <w:r w:rsidR="00D90FFF">
        <w:rPr>
          <w:lang w:eastAsia="zh-CN"/>
        </w:rPr>
        <w:t xml:space="preserve">; </w:t>
      </w:r>
      <w:r w:rsidR="00DB1575">
        <w:rPr>
          <w:lang w:eastAsia="zh-CN"/>
        </w:rPr>
        <w:t>t</w:t>
      </w:r>
      <w:r w:rsidR="008B4DFC">
        <w:rPr>
          <w:lang w:eastAsia="zh-CN"/>
        </w:rPr>
        <w:t xml:space="preserve">he findings </w:t>
      </w:r>
      <w:r w:rsidR="00231C04" w:rsidRPr="00231C04">
        <w:rPr>
          <w:lang w:eastAsia="zh-CN"/>
        </w:rPr>
        <w:t xml:space="preserve">presented in </w:t>
      </w:r>
      <w:r w:rsidR="00F44E17">
        <w:rPr>
          <w:lang w:eastAsia="zh-CN"/>
        </w:rPr>
        <w:t xml:space="preserve">the </w:t>
      </w:r>
      <w:r w:rsidR="009075F2">
        <w:rPr>
          <w:lang w:eastAsia="zh-CN"/>
        </w:rPr>
        <w:t>previous analysis</w:t>
      </w:r>
      <w:r w:rsidR="008B4DFC">
        <w:rPr>
          <w:lang w:eastAsia="zh-CN"/>
        </w:rPr>
        <w:t xml:space="preserve"> are then verified using the example of </w:t>
      </w:r>
      <w:r w:rsidR="00D808D3">
        <w:rPr>
          <w:lang w:eastAsia="zh-CN"/>
        </w:rPr>
        <w:t>heat pump on/off control through a numerical experiment</w:t>
      </w:r>
      <w:r w:rsidR="007E44EB">
        <w:rPr>
          <w:lang w:eastAsia="zh-CN"/>
        </w:rPr>
        <w:t xml:space="preserve">; </w:t>
      </w:r>
      <w:r w:rsidR="003D6BF0">
        <w:rPr>
          <w:lang w:eastAsia="zh-CN"/>
        </w:rPr>
        <w:t xml:space="preserve">next, </w:t>
      </w:r>
      <w:r w:rsidR="007E44EB">
        <w:rPr>
          <w:lang w:eastAsia="zh-CN"/>
        </w:rPr>
        <w:t xml:space="preserve">dynamic </w:t>
      </w:r>
      <w:r w:rsidR="00231C04">
        <w:t>r</w:t>
      </w:r>
      <w:r w:rsidR="00231C04" w:rsidRPr="00CD3DEB">
        <w:t>eal building zone temperature data from small- and medium-sized office buildings</w:t>
      </w:r>
      <w:r w:rsidR="00231C04">
        <w:t xml:space="preserve"> </w:t>
      </w:r>
      <w:r w:rsidR="008B4DFC">
        <w:t xml:space="preserve">are used </w:t>
      </w:r>
      <w:r w:rsidR="00231C04">
        <w:t>to show that the analysis is reasonable</w:t>
      </w:r>
      <w:r w:rsidR="00B96BD2">
        <w:t>; and finally</w:t>
      </w:r>
      <w:r w:rsidR="00A05A25">
        <w:t>,</w:t>
      </w:r>
      <w:r w:rsidR="00B96BD2">
        <w:t xml:space="preserve"> </w:t>
      </w:r>
      <w:r w:rsidR="00231C04">
        <w:t>conclusions</w:t>
      </w:r>
      <w:r w:rsidR="008B4DFC">
        <w:t xml:space="preserve"> and recommendations are summarized</w:t>
      </w:r>
      <w:r w:rsidR="00231C04">
        <w:t>.</w:t>
      </w:r>
    </w:p>
    <w:p w14:paraId="7FE10E5F" w14:textId="376DD8D2" w:rsidR="000C67B8" w:rsidRDefault="00231C04">
      <w:pPr>
        <w:pStyle w:val="Heading1"/>
      </w:pPr>
      <w:r>
        <w:t>Zone heat balance equation</w:t>
      </w:r>
    </w:p>
    <w:p w14:paraId="3D8AAA7C" w14:textId="08729626" w:rsidR="001E404D" w:rsidRPr="0014346E" w:rsidRDefault="001E404D" w:rsidP="0014346E">
      <w:r>
        <w:t xml:space="preserve">Our analysis starts with the </w:t>
      </w:r>
      <w:r w:rsidR="00B406AF">
        <w:t>fundamental</w:t>
      </w:r>
      <w:r>
        <w:t xml:space="preserve"> physics-based zone air heat balance equation</w:t>
      </w:r>
      <w:r w:rsidR="00C80782">
        <w:t xml:space="preserve"> of EnergyPlus</w:t>
      </w:r>
      <w:r w:rsidR="00052967">
        <w:t xml:space="preserve"> </w:t>
      </w:r>
      <w:r w:rsidR="00C531E5">
        <w:fldChar w:fldCharType="begin"/>
      </w:r>
      <w:r w:rsidR="004B3F61">
        <w:instrText xml:space="preserve"> ADDIN EN.CITE &lt;EndNote&gt;&lt;Cite&gt;&lt;Author&gt;U.S. Department of Energy&lt;/Author&gt;&lt;Year&gt;2020&lt;/Year&gt;&lt;RecNum&gt;230&lt;/RecNum&gt;&lt;DisplayText&gt;(U.S. Department of Energy, 2020a)&lt;/DisplayText&gt;&lt;record&gt;&lt;rec-number&gt;230&lt;/rec-number&gt;&lt;foreign-keys&gt;&lt;key app="EN" db-id="e2epp5xvs9p5skexse7xssf5tpsprs5zep5d" timestamp="1642976391"&gt;230&lt;/key&gt;&lt;/foreign-keys&gt;&lt;ref-type name="Web Page"&gt;12&lt;/ref-type&gt;&lt;contributors&gt;&lt;authors&gt;&lt;author&gt;U.S. Department of Energy,&lt;/author&gt;&lt;/authors&gt;&lt;/contributors&gt;&lt;titles&gt;&lt;title&gt;Basis for the Zone and Air System Integration&lt;/title&gt;&lt;secondary-title&gt;Engineering Reference - EnergyPlus 9.3&lt;/secondary-title&gt;&lt;/titles&gt;&lt;dates&gt;&lt;year&gt;2020&lt;/year&gt;&lt;/dates&gt;&lt;urls&gt;&lt;related-urls&gt;&lt;url&gt;https://bigladdersoftware.com/epx/docs/9-3/engineering-reference/basis-for-the-zone-and-air-system-integration.html#basis-for-the-zone-and-air-system-integration&lt;/url&gt;&lt;/related-urls&gt;&lt;/urls&gt;&lt;/record&gt;&lt;/Cite&gt;&lt;/EndNote&gt;</w:instrText>
      </w:r>
      <w:r w:rsidR="00C531E5">
        <w:fldChar w:fldCharType="separate"/>
      </w:r>
      <w:r w:rsidR="004B3F61">
        <w:rPr>
          <w:noProof/>
        </w:rPr>
        <w:t>(U.S. Department of Energy, 2020a)</w:t>
      </w:r>
      <w:r w:rsidR="00C531E5">
        <w:fldChar w:fldCharType="end"/>
      </w:r>
      <w:r w:rsidR="00C531E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3690"/>
        <w:gridCol w:w="481"/>
      </w:tblGrid>
      <w:tr w:rsidR="001E404D" w14:paraId="3EE72970" w14:textId="77777777" w:rsidTr="005331C9">
        <w:tc>
          <w:tcPr>
            <w:tcW w:w="445" w:type="dxa"/>
          </w:tcPr>
          <w:p w14:paraId="65030F94" w14:textId="77777777" w:rsidR="001E404D" w:rsidRDefault="001E404D"/>
        </w:tc>
        <w:tc>
          <w:tcPr>
            <w:tcW w:w="3690" w:type="dxa"/>
          </w:tcPr>
          <w:p w14:paraId="417982EC" w14:textId="146674B2" w:rsidR="001E404D" w:rsidRPr="005331C9" w:rsidRDefault="00ED2FC2" w:rsidP="005331C9">
            <w:pPr>
              <w:jc w:val="center"/>
              <w:rPr>
                <w:color w:val="000000"/>
              </w:rPr>
            </w:pPr>
            <m:oMathPara>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f>
                  <m:fPr>
                    <m:ctrlPr>
                      <w:rPr>
                        <w:rFonts w:ascii="Cambria Math" w:hAnsi="Cambria Math"/>
                        <w:i/>
                        <w:color w:val="000000"/>
                      </w:rPr>
                    </m:ctrlPr>
                  </m:fPr>
                  <m:num>
                    <m:r>
                      <w:rPr>
                        <w:rFonts w:ascii="Cambria Math" w:hAnsi="Cambria Math"/>
                        <w:color w:val="000000"/>
                      </w:rPr>
                      <m:t>d</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m:t>
                        </m:r>
                      </m:sub>
                    </m:sSub>
                  </m:num>
                  <m:den>
                    <m:r>
                      <w:rPr>
                        <w:rFonts w:ascii="Cambria Math" w:hAnsi="Cambria Math"/>
                        <w:color w:val="000000"/>
                      </w:rPr>
                      <m:t>dt</m:t>
                    </m:r>
                  </m:den>
                </m:f>
                <m:r>
                  <w:rPr>
                    <w:rFonts w:ascii="Cambria Math" w:hAnsi="Cambria Math"/>
                    <w:color w:val="000000"/>
                  </w:rPr>
                  <m:t>=</m:t>
                </m:r>
                <m:nary>
                  <m:naryPr>
                    <m:chr m:val="∑"/>
                    <m:limLoc m:val="subSup"/>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sl</m:t>
                        </m:r>
                      </m:sub>
                    </m:sSub>
                  </m:sup>
                  <m:e>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Q</m:t>
                            </m:r>
                          </m:e>
                        </m:acc>
                      </m:e>
                      <m:sub>
                        <m:r>
                          <w:rPr>
                            <w:rFonts w:ascii="Cambria Math" w:hAnsi="Cambria Math"/>
                            <w:color w:val="000000"/>
                          </w:rPr>
                          <m:t>i</m:t>
                        </m:r>
                      </m:sub>
                    </m:sSub>
                  </m:e>
                </m:nary>
                <m:r>
                  <w:rPr>
                    <w:rFonts w:ascii="Cambria Math" w:hAnsi="Cambria Math"/>
                    <w:color w:val="000000"/>
                  </w:rPr>
                  <m:t>+</m:t>
                </m:r>
                <m:nary>
                  <m:naryPr>
                    <m:chr m:val="∑"/>
                    <m:limLoc m:val="subSup"/>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sup>
                  <m:e>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si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m:t>
                            </m:r>
                          </m:sub>
                        </m:sSub>
                      </m:e>
                    </m:d>
                  </m:e>
                </m:nary>
                <m:r>
                  <w:rPr>
                    <w:rFonts w:ascii="Cambria Math" w:hAnsi="Cambria Math"/>
                    <w:color w:val="000000"/>
                  </w:rPr>
                  <m:t>+</m:t>
                </m:r>
                <m:nary>
                  <m:naryPr>
                    <m:chr m:val="∑"/>
                    <m:limLoc m:val="subSup"/>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z</m:t>
                        </m:r>
                      </m:sub>
                    </m:sSub>
                  </m:sup>
                  <m:e>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m:t>
                            </m:r>
                          </m:sub>
                        </m:sSub>
                      </m:e>
                    </m:d>
                  </m:e>
                </m:nary>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inf</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m:t>
                        </m:r>
                      </m:sub>
                    </m:sSub>
                  </m:e>
                </m:d>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sup</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sup</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m:t>
                        </m:r>
                      </m:sub>
                    </m:sSub>
                  </m:e>
                </m:d>
              </m:oMath>
            </m:oMathPara>
          </w:p>
        </w:tc>
        <w:tc>
          <w:tcPr>
            <w:tcW w:w="481" w:type="dxa"/>
            <w:vAlign w:val="center"/>
          </w:tcPr>
          <w:p w14:paraId="6DA06F9F" w14:textId="2BAAE9C7" w:rsidR="001E404D" w:rsidRDefault="001E404D" w:rsidP="001E404D">
            <w:pPr>
              <w:jc w:val="right"/>
            </w:pPr>
            <w:r>
              <w:rPr>
                <w:color w:val="000000"/>
              </w:rPr>
              <w:t>(1)</w:t>
            </w:r>
          </w:p>
        </w:tc>
      </w:tr>
    </w:tbl>
    <w:p w14:paraId="46315D74" w14:textId="2C7053FE" w:rsidR="00052967" w:rsidRDefault="00F74AF6" w:rsidP="0034072A">
      <w:pPr>
        <w:rPr>
          <w:color w:val="000000"/>
        </w:rPr>
      </w:pPr>
      <w:bookmarkStart w:id="0" w:name="_Hlk95234092"/>
      <w:r>
        <w:t>Descriptions of the symbols used in this equation can be found in the nomenclature section</w:t>
      </w:r>
      <w:bookmarkEnd w:id="0"/>
      <w:r>
        <w:t xml:space="preserve">. </w:t>
      </w:r>
      <w:r w:rsidR="00052967">
        <w:rPr>
          <w:color w:val="000000"/>
        </w:rPr>
        <w:t xml:space="preserve">The analytical solution </w:t>
      </w:r>
      <w:r w:rsidR="00E84900">
        <w:rPr>
          <w:color w:val="000000"/>
        </w:rPr>
        <w:fldChar w:fldCharType="begin"/>
      </w:r>
      <w:r w:rsidR="004B3F61">
        <w:rPr>
          <w:color w:val="000000"/>
        </w:rPr>
        <w:instrText xml:space="preserve"> ADDIN EN.CITE &lt;EndNote&gt;&lt;Cite&gt;&lt;Author&gt;U.S. Department of Energy&lt;/Author&gt;&lt;Year&gt;2020&lt;/Year&gt;&lt;RecNum&gt;230&lt;/RecNum&gt;&lt;DisplayText&gt;(U.S. Department of Energy, 2020a)&lt;/DisplayText&gt;&lt;record&gt;&lt;rec-number&gt;230&lt;/rec-number&gt;&lt;foreign-keys&gt;&lt;key app="EN" db-id="e2epp5xvs9p5skexse7xssf5tpsprs5zep5d" timestamp="1642976391"&gt;230&lt;/key&gt;&lt;/foreign-keys&gt;&lt;ref-type name="Web Page"&gt;12&lt;/ref-type&gt;&lt;contributors&gt;&lt;authors&gt;&lt;author&gt;U.S. Department of Energy,&lt;/author&gt;&lt;/authors&gt;&lt;/contributors&gt;&lt;titles&gt;&lt;title&gt;Basis for the Zone and Air System Integration&lt;/title&gt;&lt;secondary-title&gt;Engineering Reference - EnergyPlus 9.3&lt;/secondary-title&gt;&lt;/titles&gt;&lt;dates&gt;&lt;year&gt;2020&lt;/year&gt;&lt;/dates&gt;&lt;urls&gt;&lt;related-urls&gt;&lt;url&gt;https://bigladdersoftware.com/epx/docs/9-3/engineering-reference/basis-for-the-zone-and-air-system-integration.html#basis-for-the-zone-and-air-system-integration&lt;/url&gt;&lt;/related-urls&gt;&lt;/urls&gt;&lt;/record&gt;&lt;/Cite&gt;&lt;/EndNote&gt;</w:instrText>
      </w:r>
      <w:r w:rsidR="00E84900">
        <w:rPr>
          <w:color w:val="000000"/>
        </w:rPr>
        <w:fldChar w:fldCharType="separate"/>
      </w:r>
      <w:r w:rsidR="004B3F61">
        <w:rPr>
          <w:noProof/>
          <w:color w:val="000000"/>
        </w:rPr>
        <w:t>(U.S. Department of Energy, 2020a)</w:t>
      </w:r>
      <w:r w:rsidR="00E84900">
        <w:rPr>
          <w:color w:val="000000"/>
        </w:rPr>
        <w:fldChar w:fldCharType="end"/>
      </w:r>
      <w:r w:rsidR="00E84900">
        <w:rPr>
          <w:color w:val="000000"/>
        </w:rPr>
        <w:t xml:space="preserve"> </w:t>
      </w:r>
      <w:r w:rsidR="00052967">
        <w:rPr>
          <w:color w:val="000000"/>
        </w:rPr>
        <w:t xml:space="preserve">of </w:t>
      </w:r>
      <w:r w:rsidR="00DB0CDC">
        <w:rPr>
          <w:color w:val="000000"/>
        </w:rPr>
        <w:t xml:space="preserve">the zone air temperature at time </w:t>
      </w:r>
      <m:oMath>
        <m:r>
          <w:rPr>
            <w:rFonts w:ascii="Cambria Math" w:hAnsi="Cambria Math"/>
            <w:color w:val="000000"/>
          </w:rPr>
          <m:t>t</m:t>
        </m:r>
      </m:oMath>
      <w:r w:rsidR="00052967">
        <w:rPr>
          <w:color w:val="000000"/>
        </w:rPr>
        <w:t xml:space="preserv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3690"/>
        <w:gridCol w:w="481"/>
      </w:tblGrid>
      <w:tr w:rsidR="00DB0CDC" w14:paraId="241B7AAE" w14:textId="77777777" w:rsidTr="002D1335">
        <w:tc>
          <w:tcPr>
            <w:tcW w:w="445" w:type="dxa"/>
          </w:tcPr>
          <w:p w14:paraId="44F9E9F0" w14:textId="77777777" w:rsidR="00DB0CDC" w:rsidRDefault="00DB0CDC" w:rsidP="002D1335"/>
        </w:tc>
        <w:tc>
          <w:tcPr>
            <w:tcW w:w="3690" w:type="dxa"/>
          </w:tcPr>
          <w:p w14:paraId="42906B89" w14:textId="14D9B800" w:rsidR="00DB0CDC" w:rsidRPr="005331C9" w:rsidRDefault="00ED2FC2" w:rsidP="002D1335">
            <w:pPr>
              <w:jc w:val="center"/>
              <w:rPr>
                <w:color w:val="000000"/>
              </w:rPr>
            </w:pPr>
            <m:oMathPara>
              <m:oMath>
                <m:sSubSup>
                  <m:sSubSupPr>
                    <m:ctrlPr>
                      <w:rPr>
                        <w:rFonts w:ascii="Cambria Math" w:hAnsi="Cambria Math"/>
                        <w:i/>
                        <w:color w:val="000000"/>
                      </w:rPr>
                    </m:ctrlPr>
                  </m:sSubSupPr>
                  <m:e>
                    <m:r>
                      <w:rPr>
                        <w:rFonts w:ascii="Cambria Math" w:hAnsi="Cambria Math"/>
                        <w:color w:val="000000"/>
                      </w:rPr>
                      <m:t>T</m:t>
                    </m:r>
                  </m:e>
                  <m:sub>
                    <m:r>
                      <w:rPr>
                        <w:rFonts w:ascii="Cambria Math" w:hAnsi="Cambria Math"/>
                        <w:color w:val="000000"/>
                      </w:rPr>
                      <m:t>z</m:t>
                    </m:r>
                  </m:sub>
                  <m:sup>
                    <m:r>
                      <w:rPr>
                        <w:rFonts w:ascii="Cambria Math" w:hAnsi="Cambria Math"/>
                        <w:color w:val="000000"/>
                      </w:rPr>
                      <m:t>t</m:t>
                    </m:r>
                  </m:sup>
                </m:sSubSup>
                <m:r>
                  <w:rPr>
                    <w:rFonts w:ascii="Cambria Math" w:hAnsi="Cambria Math"/>
                    <w:color w:val="000000"/>
                  </w:rPr>
                  <m:t>=</m:t>
                </m:r>
                <w:bookmarkStart w:id="1" w:name="_Hlk95742659"/>
                <m:d>
                  <m:dPr>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rPr>
                          <m:t>T</m:t>
                        </m:r>
                      </m:e>
                      <m:sub>
                        <m:r>
                          <w:rPr>
                            <w:rFonts w:ascii="Cambria Math" w:hAnsi="Cambria Math"/>
                            <w:color w:val="000000"/>
                          </w:rPr>
                          <m:t>z</m:t>
                        </m:r>
                      </m:sub>
                      <m:sup>
                        <m:r>
                          <w:rPr>
                            <w:rFonts w:ascii="Cambria Math" w:hAnsi="Cambria Math"/>
                            <w:color w:val="000000"/>
                          </w:rPr>
                          <m:t>t-δt</m:t>
                        </m:r>
                      </m:sup>
                    </m:sSubSup>
                    <m:r>
                      <w:rPr>
                        <w:rFonts w:ascii="Cambria Math" w:hAnsi="Cambria Math"/>
                        <w:color w:val="000000"/>
                      </w:rPr>
                      <m:t>-</m:t>
                    </m:r>
                    <m:f>
                      <m:fPr>
                        <m:ctrlPr>
                          <w:rPr>
                            <w:rFonts w:ascii="Cambria Math" w:hAnsi="Cambria Math"/>
                            <w:i/>
                            <w:color w:val="000000"/>
                          </w:rPr>
                        </m:ctrlPr>
                      </m:fPr>
                      <m:num>
                        <m:r>
                          <w:rPr>
                            <w:rFonts w:ascii="Cambria Math" w:hAnsi="Cambria Math"/>
                            <w:color w:val="000000"/>
                          </w:rPr>
                          <m:t>H</m:t>
                        </m:r>
                      </m:num>
                      <m:den>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den>
                    </m:f>
                  </m:e>
                </m:d>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f>
                      <m:fPr>
                        <m:ctrlPr>
                          <w:rPr>
                            <w:rFonts w:ascii="Cambria Math" w:hAnsi="Cambria Math"/>
                            <w:i/>
                            <w:color w:val="000000"/>
                          </w:rPr>
                        </m:ctrlPr>
                      </m:fPr>
                      <m:num>
                        <m:r>
                          <w:rPr>
                            <w:rFonts w:ascii="Cambria Math" w:hAnsi="Cambria Math"/>
                            <w:color w:val="000000"/>
                          </w:rPr>
                          <m:t>δt</m:t>
                        </m:r>
                      </m:num>
                      <m:den>
                        <m:r>
                          <w:rPr>
                            <w:rFonts w:ascii="Cambria Math" w:hAnsi="Cambria Math"/>
                            <w:color w:val="000000"/>
                          </w:rPr>
                          <m:t>τ</m:t>
                        </m:r>
                      </m:den>
                    </m:f>
                  </m:sup>
                </m:sSup>
                <w:bookmarkEnd w:id="1"/>
                <m:r>
                  <w:rPr>
                    <w:rFonts w:ascii="Cambria Math" w:hAnsi="Cambria Math"/>
                    <w:color w:val="000000"/>
                  </w:rPr>
                  <m:t>+</m:t>
                </m:r>
                <m:f>
                  <m:fPr>
                    <m:ctrlPr>
                      <w:rPr>
                        <w:rFonts w:ascii="Cambria Math" w:hAnsi="Cambria Math"/>
                        <w:i/>
                        <w:color w:val="000000"/>
                      </w:rPr>
                    </m:ctrlPr>
                  </m:fPr>
                  <m:num>
                    <m:r>
                      <w:rPr>
                        <w:rFonts w:ascii="Cambria Math" w:hAnsi="Cambria Math"/>
                        <w:color w:val="000000"/>
                      </w:rPr>
                      <m:t>H</m:t>
                    </m:r>
                  </m:num>
                  <m:den>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den>
                </m:f>
              </m:oMath>
            </m:oMathPara>
          </w:p>
        </w:tc>
        <w:tc>
          <w:tcPr>
            <w:tcW w:w="481" w:type="dxa"/>
            <w:vAlign w:val="center"/>
          </w:tcPr>
          <w:p w14:paraId="397A4E52" w14:textId="7E32062A" w:rsidR="00DB0CDC" w:rsidRDefault="00DB0CDC" w:rsidP="002D1335">
            <w:pPr>
              <w:jc w:val="right"/>
            </w:pPr>
            <w:r>
              <w:rPr>
                <w:color w:val="000000"/>
              </w:rPr>
              <w:t>(</w:t>
            </w:r>
            <w:r w:rsidR="002B4E48">
              <w:rPr>
                <w:color w:val="000000"/>
              </w:rPr>
              <w:t>2</w:t>
            </w:r>
            <w:r>
              <w:rPr>
                <w:color w:val="000000"/>
              </w:rPr>
              <w:t>)</w:t>
            </w:r>
          </w:p>
        </w:tc>
      </w:tr>
    </w:tbl>
    <w:p w14:paraId="79B287F2" w14:textId="77777777" w:rsidR="000B4DBD" w:rsidRDefault="00D14148" w:rsidP="0034072A">
      <w:r>
        <w:t>wher</w:t>
      </w:r>
      <w:r w:rsidR="000B4DBD">
        <w:t>e:</w:t>
      </w:r>
    </w:p>
    <w:p w14:paraId="5C918F7A" w14:textId="13640685" w:rsidR="000B4DBD" w:rsidRPr="000B4DBD" w:rsidRDefault="00A432B6" w:rsidP="00040602">
      <w:pPr>
        <w:rPr>
          <w:color w:val="000000"/>
        </w:rPr>
      </w:pPr>
      <m:oMathPara>
        <m:oMathParaPr>
          <m:jc m:val="left"/>
        </m:oMathParaPr>
        <m:oMath>
          <m:r>
            <w:rPr>
              <w:rFonts w:ascii="Cambria Math" w:hAnsi="Cambria Math"/>
              <w:color w:val="000000"/>
            </w:rPr>
            <m:t>H=</m:t>
          </m:r>
          <m:nary>
            <m:naryPr>
              <m:chr m:val="∑"/>
              <m:limLoc m:val="subSup"/>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sl</m:t>
                  </m:r>
                </m:sub>
              </m:sSub>
            </m:sup>
            <m:e>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Q</m:t>
                      </m:r>
                    </m:e>
                  </m:acc>
                </m:e>
                <m:sub>
                  <m:r>
                    <w:rPr>
                      <w:rFonts w:ascii="Cambria Math" w:hAnsi="Cambria Math"/>
                      <w:color w:val="000000"/>
                    </w:rPr>
                    <m:t>i</m:t>
                  </m:r>
                </m:sub>
              </m:sSub>
            </m:e>
          </m:nary>
          <m:r>
            <w:rPr>
              <w:rFonts w:ascii="Cambria Math" w:hAnsi="Cambria Math"/>
              <w:color w:val="000000"/>
            </w:rPr>
            <m:t>+</m:t>
          </m:r>
          <m:nary>
            <m:naryPr>
              <m:chr m:val="∑"/>
              <m:limLoc m:val="subSup"/>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sup>
            <m:e>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si</m:t>
                  </m:r>
                </m:sub>
              </m:sSub>
            </m:e>
          </m:nary>
          <m:r>
            <w:rPr>
              <w:rFonts w:ascii="Cambria Math" w:hAnsi="Cambria Math"/>
              <w:color w:val="000000"/>
            </w:rPr>
            <m:t>+</m:t>
          </m:r>
          <m:nary>
            <m:naryPr>
              <m:chr m:val="∑"/>
              <m:limLoc m:val="subSup"/>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z</m:t>
                  </m:r>
                </m:sub>
              </m:sSub>
            </m:sup>
            <m:e>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zi</m:t>
                  </m:r>
                </m:sub>
              </m:sSub>
            </m:e>
          </m:nary>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inf</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sup</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sup</m:t>
              </m:r>
            </m:sub>
          </m:sSub>
          <m:r>
            <w:rPr>
              <w:rFonts w:ascii="Cambria Math" w:hAnsi="Cambria Math"/>
              <w:color w:val="000000"/>
            </w:rPr>
            <m:t>;</m:t>
          </m:r>
        </m:oMath>
      </m:oMathPara>
    </w:p>
    <w:p w14:paraId="44D6140E" w14:textId="6BEAB688" w:rsidR="000B4DBD" w:rsidRPr="003429F6" w:rsidRDefault="00ED2FC2" w:rsidP="00040602">
      <w:pPr>
        <w:rPr>
          <w:lang w:eastAsia="zh-CN"/>
        </w:rPr>
      </w:pPr>
      <m:oMathPara>
        <m:oMathParaPr>
          <m:jc m:val="left"/>
        </m:oMathParaP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r>
            <w:rPr>
              <w:rFonts w:ascii="Cambria Math" w:hAnsi="Cambria Math"/>
              <w:color w:val="000000"/>
            </w:rPr>
            <m:t>=</m:t>
          </m:r>
          <m:nary>
            <m:naryPr>
              <m:chr m:val="∑"/>
              <m:limLoc m:val="subSup"/>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sup>
            <m:e>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e>
          </m:nary>
          <m:r>
            <w:rPr>
              <w:rFonts w:ascii="Cambria Math" w:hAnsi="Cambria Math"/>
              <w:color w:val="000000"/>
            </w:rPr>
            <m:t>+</m:t>
          </m:r>
          <m:nary>
            <m:naryPr>
              <m:chr m:val="∑"/>
              <m:limLoc m:val="undOvr"/>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z</m:t>
                  </m:r>
                </m:sub>
              </m:sSub>
            </m:sup>
            <m:e>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e>
          </m:nary>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inf</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sup</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r>
            <w:rPr>
              <w:rFonts w:ascii="Cambria Math" w:hAnsi="Cambria Math"/>
              <w:color w:val="000000"/>
            </w:rPr>
            <m:t>;</m:t>
          </m:r>
        </m:oMath>
      </m:oMathPara>
    </w:p>
    <w:p w14:paraId="4C70A1AB" w14:textId="7A9B663E" w:rsidR="003429F6" w:rsidRPr="003429F6" w:rsidRDefault="003429F6" w:rsidP="00040602">
      <w:pPr>
        <w:rPr>
          <w:lang w:eastAsia="zh-CN"/>
        </w:rPr>
      </w:pPr>
      <m:oMathPara>
        <m:oMathParaPr>
          <m:jc m:val="left"/>
        </m:oMathParaPr>
        <m:oMath>
          <m:r>
            <w:rPr>
              <w:rFonts w:ascii="Cambria Math" w:hAnsi="Cambria Math"/>
              <w:color w:val="000000"/>
            </w:rPr>
            <m:t>τ=</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num>
            <m:den>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den>
          </m:f>
          <m:r>
            <w:rPr>
              <w:rFonts w:ascii="Cambria Math" w:hAnsi="Cambria Math"/>
              <w:color w:val="000000"/>
            </w:rPr>
            <m:t>.</m:t>
          </m:r>
        </m:oMath>
      </m:oMathPara>
    </w:p>
    <w:p w14:paraId="2004E7FF" w14:textId="732BE376" w:rsidR="00BE6BAD" w:rsidRDefault="00BE6BAD" w:rsidP="00040602">
      <w:pPr>
        <w:rPr>
          <w:lang w:eastAsia="zh-CN"/>
        </w:rPr>
      </w:pPr>
      <w:r w:rsidRPr="00BE6BAD">
        <w:rPr>
          <w:lang w:eastAsia="zh-CN"/>
        </w:rPr>
        <w:t xml:space="preserve">To facilitate </w:t>
      </w:r>
      <w:r w:rsidR="0099046D">
        <w:rPr>
          <w:rFonts w:hint="eastAsia"/>
          <w:lang w:eastAsia="zh-CN"/>
        </w:rPr>
        <w:t>a</w:t>
      </w:r>
      <w:r w:rsidR="00F74AF6">
        <w:rPr>
          <w:lang w:eastAsia="zh-CN"/>
        </w:rPr>
        <w:t xml:space="preserve">n </w:t>
      </w:r>
      <w:r w:rsidRPr="00BE6BAD">
        <w:rPr>
          <w:lang w:eastAsia="zh-CN"/>
        </w:rPr>
        <w:t>understanding</w:t>
      </w:r>
      <w:r w:rsidR="005C6698">
        <w:rPr>
          <w:lang w:eastAsia="zh-CN"/>
        </w:rPr>
        <w:t xml:space="preserve"> of</w:t>
      </w:r>
      <w:r w:rsidRPr="00BE6BAD">
        <w:rPr>
          <w:lang w:eastAsia="zh-CN"/>
        </w:rPr>
        <w:t xml:space="preserve"> the role of the two internal mass modeling approaches, we can </w:t>
      </w:r>
      <w:r w:rsidR="00F74AF6">
        <w:rPr>
          <w:lang w:eastAsia="zh-CN"/>
        </w:rPr>
        <w:t>treat this equation</w:t>
      </w:r>
      <w:r w:rsidRPr="00BE6BAD">
        <w:rPr>
          <w:lang w:eastAsia="zh-CN"/>
        </w:rPr>
        <w:t xml:space="preserve"> system </w:t>
      </w:r>
      <w:r w:rsidR="00F74AF6">
        <w:rPr>
          <w:lang w:eastAsia="zh-CN"/>
        </w:rPr>
        <w:t>as</w:t>
      </w:r>
      <w:r w:rsidRPr="00BE6BAD">
        <w:rPr>
          <w:lang w:eastAsia="zh-CN"/>
        </w:rPr>
        <w:t xml:space="preserve"> a first-order linear </w:t>
      </w:r>
      <w:r w:rsidRPr="00484A65">
        <w:rPr>
          <w:lang w:eastAsia="zh-CN"/>
        </w:rPr>
        <w:t>time-invariant</w:t>
      </w:r>
      <w:r w:rsidRPr="00BE6BAD">
        <w:rPr>
          <w:lang w:eastAsia="zh-CN"/>
        </w:rPr>
        <w:t xml:space="preserve"> system with </w:t>
      </w:r>
      <m:oMath>
        <m:r>
          <w:rPr>
            <w:rFonts w:ascii="Cambria Math" w:hAnsi="Cambria Math"/>
            <w:color w:val="000000"/>
          </w:rPr>
          <m:t>H/</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oMath>
      <w:r w:rsidRPr="00BE6BAD">
        <w:rPr>
          <w:lang w:eastAsia="zh-CN"/>
        </w:rPr>
        <w:t xml:space="preserve"> as a constant step input.</w:t>
      </w:r>
      <w:r w:rsidR="00A432B6">
        <w:rPr>
          <w:lang w:eastAsia="zh-CN"/>
        </w:rPr>
        <w:t xml:space="preserve"> </w:t>
      </w:r>
      <w:r w:rsidR="0089458E">
        <w:rPr>
          <w:lang w:eastAsia="zh-CN"/>
        </w:rPr>
        <w:t xml:space="preserve">This system has two important parameters, one is the time constant </w:t>
      </w:r>
      <m:oMath>
        <m:r>
          <w:rPr>
            <w:rFonts w:ascii="Cambria Math" w:hAnsi="Cambria Math"/>
            <w:color w:val="000000"/>
          </w:rPr>
          <m:t>τ</m:t>
        </m:r>
      </m:oMath>
      <w:r w:rsidR="0089458E">
        <w:rPr>
          <w:color w:val="000000"/>
        </w:rPr>
        <w:t>, which governs the spee</w:t>
      </w:r>
      <w:r w:rsidR="00EE065B">
        <w:rPr>
          <w:color w:val="000000"/>
        </w:rPr>
        <w:t xml:space="preserve">d of the zone temperature transient response, and the other is </w:t>
      </w:r>
      <m:oMath>
        <m:r>
          <w:rPr>
            <w:rFonts w:ascii="Cambria Math" w:hAnsi="Cambria Math"/>
            <w:color w:val="000000"/>
          </w:rPr>
          <m:t>H/</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oMath>
      <w:r w:rsidR="00EE065B">
        <w:rPr>
          <w:color w:val="000000"/>
        </w:rPr>
        <w:t xml:space="preserve">, which is the final </w:t>
      </w:r>
      <w:r w:rsidR="00EE065B" w:rsidRPr="00484A65">
        <w:rPr>
          <w:color w:val="000000"/>
        </w:rPr>
        <w:t>steady state temperature</w:t>
      </w:r>
      <w:r w:rsidR="00EE065B">
        <w:rPr>
          <w:color w:val="000000"/>
        </w:rPr>
        <w:t xml:space="preserve">. </w:t>
      </w:r>
      <w:r w:rsidR="008244CD">
        <w:rPr>
          <w:color w:val="000000"/>
        </w:rPr>
        <w:t>The</w:t>
      </w:r>
      <w:r w:rsidR="005C6698">
        <w:rPr>
          <w:color w:val="000000"/>
        </w:rPr>
        <w:t xml:space="preserve"> </w:t>
      </w:r>
      <w:r w:rsidR="005C6698" w:rsidRPr="001400D0">
        <w:rPr>
          <w:color w:val="000000"/>
        </w:rPr>
        <w:t>two</w:t>
      </w:r>
      <w:r w:rsidR="001400D0" w:rsidRPr="001400D0">
        <w:rPr>
          <w:color w:val="000000"/>
        </w:rPr>
        <w:t xml:space="preserve"> internal mass modeling approaches of EnergyPlus </w:t>
      </w:r>
      <w:r w:rsidR="00F74AF6">
        <w:rPr>
          <w:color w:val="000000"/>
        </w:rPr>
        <w:t>capture</w:t>
      </w:r>
      <w:r w:rsidR="001400D0" w:rsidRPr="001400D0">
        <w:rPr>
          <w:color w:val="000000"/>
        </w:rPr>
        <w:t xml:space="preserve"> the effect of internal mass on room temperature dynamics</w:t>
      </w:r>
      <w:r w:rsidR="008244CD">
        <w:rPr>
          <w:color w:val="000000"/>
        </w:rPr>
        <w:t xml:space="preserve"> by manipulating one or </w:t>
      </w:r>
      <w:proofErr w:type="gramStart"/>
      <w:r w:rsidR="008244CD">
        <w:rPr>
          <w:color w:val="000000"/>
        </w:rPr>
        <w:t>both of these</w:t>
      </w:r>
      <w:proofErr w:type="gramEnd"/>
      <w:r w:rsidR="008244CD">
        <w:rPr>
          <w:color w:val="000000"/>
        </w:rPr>
        <w:t xml:space="preserve"> parameters</w:t>
      </w:r>
      <w:r w:rsidR="001400D0" w:rsidRPr="001400D0">
        <w:rPr>
          <w:color w:val="000000"/>
        </w:rPr>
        <w:t>.</w:t>
      </w:r>
    </w:p>
    <w:p w14:paraId="0FBB4D29" w14:textId="19781AF9" w:rsidR="005E211E" w:rsidRDefault="001400D0" w:rsidP="00040602">
      <w:pPr>
        <w:rPr>
          <w:lang w:eastAsia="zh-CN"/>
        </w:rPr>
      </w:pPr>
      <w:r>
        <w:rPr>
          <w:lang w:eastAsia="zh-CN"/>
        </w:rPr>
        <w:t xml:space="preserve">The first </w:t>
      </w:r>
      <w:r w:rsidR="000F31C7">
        <w:rPr>
          <w:lang w:eastAsia="zh-CN"/>
        </w:rPr>
        <w:t xml:space="preserve">approach </w:t>
      </w:r>
      <w:r>
        <w:rPr>
          <w:lang w:eastAsia="zh-CN"/>
        </w:rPr>
        <w:t>use</w:t>
      </w:r>
      <w:r w:rsidR="005C6698">
        <w:rPr>
          <w:lang w:eastAsia="zh-CN"/>
        </w:rPr>
        <w:t>s</w:t>
      </w:r>
      <w:r>
        <w:rPr>
          <w:lang w:eastAsia="zh-CN"/>
        </w:rPr>
        <w:t xml:space="preserve"> t</w:t>
      </w:r>
      <w:r w:rsidR="0011615A" w:rsidRPr="0011615A">
        <w:rPr>
          <w:lang w:eastAsia="zh-CN"/>
        </w:rPr>
        <w:t>he InternalMass object</w:t>
      </w:r>
      <w:r>
        <w:rPr>
          <w:lang w:eastAsia="zh-CN"/>
        </w:rPr>
        <w:t>. This object</w:t>
      </w:r>
      <w:r w:rsidR="0011615A" w:rsidRPr="0011615A">
        <w:rPr>
          <w:lang w:eastAsia="zh-CN"/>
        </w:rPr>
        <w:t xml:space="preserve"> models the internal mass by defining the </w:t>
      </w:r>
      <w:r w:rsidR="001371AD">
        <w:rPr>
          <w:lang w:eastAsia="zh-CN"/>
        </w:rPr>
        <w:t xml:space="preserve">construction </w:t>
      </w:r>
      <w:r w:rsidR="0011615A" w:rsidRPr="0011615A">
        <w:rPr>
          <w:lang w:eastAsia="zh-CN"/>
        </w:rPr>
        <w:t>material of the internal mass and the surface area of the internal mass object.</w:t>
      </w:r>
      <w:r w:rsidR="00682E8C">
        <w:rPr>
          <w:lang w:eastAsia="zh-CN"/>
        </w:rPr>
        <w:t xml:space="preserve"> </w:t>
      </w:r>
      <w:r w:rsidR="0098517C">
        <w:rPr>
          <w:lang w:eastAsia="zh-CN"/>
        </w:rPr>
        <w:t xml:space="preserve">The geometry of the internal mass construction is simplified as it is </w:t>
      </w:r>
      <w:r w:rsidR="000F31C7">
        <w:rPr>
          <w:lang w:eastAsia="zh-CN"/>
        </w:rPr>
        <w:t>usually</w:t>
      </w:r>
      <w:r w:rsidR="0098517C">
        <w:rPr>
          <w:lang w:eastAsia="zh-CN"/>
        </w:rPr>
        <w:t xml:space="preserve"> </w:t>
      </w:r>
      <w:r w:rsidR="000F31C7">
        <w:rPr>
          <w:lang w:eastAsia="zh-CN"/>
        </w:rPr>
        <w:t>difficult</w:t>
      </w:r>
      <w:r w:rsidR="0098517C">
        <w:rPr>
          <w:lang w:eastAsia="zh-CN"/>
        </w:rPr>
        <w:t xml:space="preserve"> to measure.</w:t>
      </w:r>
      <w:r w:rsidR="000C427A">
        <w:rPr>
          <w:lang w:eastAsia="zh-CN"/>
        </w:rPr>
        <w:t xml:space="preserve"> </w:t>
      </w:r>
      <w:r w:rsidR="00984518">
        <w:rPr>
          <w:lang w:eastAsia="zh-CN"/>
        </w:rPr>
        <w:t xml:space="preserve">With this modeling approach, both the </w:t>
      </w:r>
      <w:r w:rsidR="0013154E">
        <w:rPr>
          <w:lang w:eastAsia="zh-CN"/>
        </w:rPr>
        <w:t xml:space="preserve">time constant </w:t>
      </w:r>
      <m:oMath>
        <m:r>
          <w:rPr>
            <w:rFonts w:ascii="Cambria Math" w:hAnsi="Cambria Math"/>
            <w:color w:val="000000"/>
          </w:rPr>
          <m:t>τ</m:t>
        </m:r>
      </m:oMath>
      <w:r w:rsidR="00A8720B">
        <w:rPr>
          <w:lang w:eastAsia="zh-CN"/>
        </w:rPr>
        <w:t xml:space="preserve"> </w:t>
      </w:r>
      <w:r w:rsidR="0013154E">
        <w:rPr>
          <w:lang w:eastAsia="zh-CN"/>
        </w:rPr>
        <w:t xml:space="preserve">and the final steady state </w:t>
      </w:r>
      <m:oMath>
        <m:r>
          <w:rPr>
            <w:rFonts w:ascii="Cambria Math" w:hAnsi="Cambria Math"/>
            <w:color w:val="000000"/>
          </w:rPr>
          <m:t>H/</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oMath>
      <w:r w:rsidR="00A8720B">
        <w:rPr>
          <w:color w:val="000000"/>
        </w:rPr>
        <w:t xml:space="preserve"> </w:t>
      </w:r>
      <w:r w:rsidR="00A8720B">
        <w:rPr>
          <w:lang w:eastAsia="zh-CN"/>
        </w:rPr>
        <w:t>are</w:t>
      </w:r>
      <w:r w:rsidR="0013154E">
        <w:rPr>
          <w:lang w:eastAsia="zh-CN"/>
        </w:rPr>
        <w:t xml:space="preserve"> adjusted.</w:t>
      </w:r>
      <w:r w:rsidR="002F0918">
        <w:rPr>
          <w:lang w:eastAsia="zh-CN"/>
        </w:rPr>
        <w:t xml:space="preserve"> Increasing the surface area</w:t>
      </w:r>
      <w:r w:rsidR="00FE2398">
        <w:rPr>
          <w:lang w:eastAsia="zh-CN"/>
        </w:rPr>
        <w:t xml:space="preserve">,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oMath>
      <w:r w:rsidR="00FE2398">
        <w:rPr>
          <w:color w:val="000000"/>
        </w:rPr>
        <w:t>,</w:t>
      </w:r>
      <w:r w:rsidR="002F0918">
        <w:rPr>
          <w:lang w:eastAsia="zh-CN"/>
        </w:rPr>
        <w:t xml:space="preserve"> of the internal mass will </w:t>
      </w:r>
      <w:r w:rsidR="00FE2398">
        <w:rPr>
          <w:lang w:eastAsia="zh-CN"/>
        </w:rPr>
        <w:t>lead to an increase in</w:t>
      </w:r>
      <w:r w:rsidR="002F0918">
        <w:rPr>
          <w:lang w:eastAsia="zh-CN"/>
        </w:rPr>
        <w:t xml:space="preserve"> </w:t>
      </w:r>
      <m:oMath>
        <m:r>
          <w:rPr>
            <w:rFonts w:ascii="Cambria Math" w:hAnsi="Cambria Math"/>
            <w:color w:val="000000"/>
          </w:rPr>
          <m:t>H/</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z</m:t>
            </m:r>
          </m:sub>
        </m:sSub>
      </m:oMath>
      <w:r w:rsidR="002F0918">
        <w:rPr>
          <w:color w:val="000000"/>
        </w:rPr>
        <w:t xml:space="preserve"> and a </w:t>
      </w:r>
      <w:r w:rsidR="00FE2398">
        <w:rPr>
          <w:color w:val="000000"/>
        </w:rPr>
        <w:t>decrease of</w:t>
      </w:r>
      <w:r w:rsidR="002F0918">
        <w:rPr>
          <w:color w:val="000000"/>
        </w:rPr>
        <w:t xml:space="preserve"> </w:t>
      </w:r>
      <m:oMath>
        <m:r>
          <w:rPr>
            <w:rFonts w:ascii="Cambria Math" w:hAnsi="Cambria Math"/>
            <w:color w:val="000000"/>
          </w:rPr>
          <m:t>τ</m:t>
        </m:r>
      </m:oMath>
      <w:r w:rsidR="002F0918">
        <w:rPr>
          <w:color w:val="000000"/>
        </w:rPr>
        <w:t>.</w:t>
      </w:r>
    </w:p>
    <w:p w14:paraId="240A0793" w14:textId="0A6CE128" w:rsidR="0013154E" w:rsidRDefault="0013154E" w:rsidP="00040602">
      <w:pPr>
        <w:rPr>
          <w:color w:val="000000"/>
        </w:rPr>
      </w:pPr>
      <w:r>
        <w:rPr>
          <w:lang w:eastAsia="zh-CN"/>
        </w:rPr>
        <w:t>The second approach use</w:t>
      </w:r>
      <w:r w:rsidR="005C6698">
        <w:rPr>
          <w:lang w:eastAsia="zh-CN"/>
        </w:rPr>
        <w:t>s</w:t>
      </w:r>
      <w:r>
        <w:rPr>
          <w:lang w:eastAsia="zh-CN"/>
        </w:rPr>
        <w:t xml:space="preserve"> </w:t>
      </w:r>
      <w:r w:rsidR="000A7443">
        <w:rPr>
          <w:lang w:eastAsia="zh-CN"/>
        </w:rPr>
        <w:t xml:space="preserve">the zone capacitance multiplier. </w:t>
      </w:r>
      <w:proofErr w:type="spellStart"/>
      <w:r w:rsidR="000A7443" w:rsidRPr="00362E48">
        <w:t>ZoneCapacitanceMultiplier:ResearchSpecial</w:t>
      </w:r>
      <w:proofErr w:type="spellEnd"/>
      <w:r w:rsidR="000A7443">
        <w:t xml:space="preserve"> object is an advanced feature to specify the effective </w:t>
      </w:r>
      <w:r w:rsidR="006204F5">
        <w:t xml:space="preserve">thermal </w:t>
      </w:r>
      <w:r w:rsidR="000A7443">
        <w:t>storage capacity of a zone</w:t>
      </w:r>
      <w:r w:rsidR="001209CB">
        <w:t xml:space="preserve">. It directly modifies the zone capacitance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oMath>
      <w:r w:rsidR="008244CD">
        <w:rPr>
          <w:color w:val="000000"/>
        </w:rPr>
        <w:t xml:space="preserve">, which determines </w:t>
      </w:r>
      <m:oMath>
        <m:r>
          <w:rPr>
            <w:rFonts w:ascii="Cambria Math" w:hAnsi="Cambria Math"/>
            <w:color w:val="000000"/>
          </w:rPr>
          <m:t>τ,</m:t>
        </m:r>
      </m:oMath>
      <w:r w:rsidR="001209CB">
        <w:rPr>
          <w:color w:val="000000"/>
        </w:rPr>
        <w:t xml:space="preserve"> </w:t>
      </w:r>
      <w:r w:rsidR="00D25827">
        <w:rPr>
          <w:color w:val="000000"/>
        </w:rPr>
        <w:t xml:space="preserve">by </w:t>
      </w:r>
      <w:r w:rsidR="0067384E">
        <w:rPr>
          <w:color w:val="000000"/>
        </w:rPr>
        <w:t>multiplying it with</w:t>
      </w:r>
      <w:r w:rsidR="00070CBC">
        <w:rPr>
          <w:color w:val="000000"/>
        </w:rPr>
        <w:t xml:space="preserve"> a temperature capacity multiplier</w:t>
      </w:r>
      <w:r w:rsidR="00376402">
        <w:rPr>
          <w:color w:val="000000"/>
        </w:rPr>
        <w:t xml:space="preserve">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T</m:t>
            </m:r>
          </m:sub>
        </m:sSub>
      </m:oMath>
      <w:r w:rsidR="001209CB">
        <w:rPr>
          <w:color w:val="000000"/>
        </w:rPr>
        <w:t>.</w:t>
      </w:r>
      <w:r w:rsidR="00724CFE">
        <w:rPr>
          <w:color w:val="000000"/>
        </w:rPr>
        <w:t xml:space="preserve"> This approach only modif</w:t>
      </w:r>
      <w:r w:rsidR="00376402">
        <w:rPr>
          <w:color w:val="000000"/>
        </w:rPr>
        <w:t>ies</w:t>
      </w:r>
      <w:r w:rsidR="00724CFE">
        <w:rPr>
          <w:color w:val="000000"/>
        </w:rPr>
        <w:t xml:space="preserve"> the time constant of the transient response and has no impact on the final steady state.</w:t>
      </w:r>
      <w:r w:rsidR="002F0918">
        <w:rPr>
          <w:color w:val="000000"/>
        </w:rPr>
        <w:t xml:space="preserve"> A</w:t>
      </w:r>
      <w:r w:rsidR="00FE2398">
        <w:rPr>
          <w:color w:val="000000"/>
        </w:rPr>
        <w:t>n</w:t>
      </w:r>
      <w:r w:rsidR="002F0918">
        <w:rPr>
          <w:color w:val="000000"/>
        </w:rPr>
        <w:t xml:space="preserve"> increase </w:t>
      </w:r>
      <w:r w:rsidR="00FE2398">
        <w:rPr>
          <w:color w:val="000000"/>
        </w:rPr>
        <w:t>in</w:t>
      </w:r>
      <w:r w:rsidR="002F0918">
        <w:rPr>
          <w:color w:val="000000"/>
        </w:rPr>
        <w:t xml:space="preserve">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oMath>
      <w:r w:rsidR="002F0918">
        <w:rPr>
          <w:color w:val="000000"/>
        </w:rPr>
        <w:t xml:space="preserve"> </w:t>
      </w:r>
      <w:r w:rsidR="00FE2398">
        <w:rPr>
          <w:color w:val="000000"/>
        </w:rPr>
        <w:t>leads to</w:t>
      </w:r>
      <w:r w:rsidR="002F0918">
        <w:rPr>
          <w:color w:val="000000"/>
        </w:rPr>
        <w:t xml:space="preserve"> an </w:t>
      </w:r>
      <w:r w:rsidR="00FE2398">
        <w:rPr>
          <w:color w:val="000000"/>
        </w:rPr>
        <w:t>increase</w:t>
      </w:r>
      <w:r w:rsidR="002F0918">
        <w:rPr>
          <w:color w:val="000000"/>
        </w:rPr>
        <w:t xml:space="preserve"> </w:t>
      </w:r>
      <w:r w:rsidR="00FE2398">
        <w:rPr>
          <w:color w:val="000000"/>
        </w:rPr>
        <w:t>in</w:t>
      </w:r>
      <w:r w:rsidR="002F0918">
        <w:rPr>
          <w:color w:val="000000"/>
        </w:rPr>
        <w:t xml:space="preserve"> </w:t>
      </w:r>
      <m:oMath>
        <m:r>
          <w:rPr>
            <w:rFonts w:ascii="Cambria Math" w:hAnsi="Cambria Math"/>
            <w:color w:val="000000"/>
          </w:rPr>
          <m:t>τ</m:t>
        </m:r>
      </m:oMath>
      <w:r w:rsidR="002F0918">
        <w:rPr>
          <w:color w:val="000000"/>
        </w:rPr>
        <w:t>.</w:t>
      </w:r>
    </w:p>
    <w:p w14:paraId="76D69F6C" w14:textId="52CFC8B9" w:rsidR="000C67B8" w:rsidRDefault="00FA4285">
      <w:pPr>
        <w:pStyle w:val="Heading1"/>
      </w:pPr>
      <w:r>
        <w:t>Parametric analysis</w:t>
      </w:r>
    </w:p>
    <w:p w14:paraId="3168E4F5" w14:textId="6102CF51" w:rsidR="0067384E" w:rsidRDefault="0067384E">
      <w:r>
        <w:t xml:space="preserve">In this section, </w:t>
      </w:r>
      <w:r w:rsidR="00B8245A">
        <w:rPr>
          <w:rFonts w:hint="eastAsia"/>
          <w:lang w:eastAsia="zh-CN"/>
        </w:rPr>
        <w:t>the</w:t>
      </w:r>
      <w:r w:rsidR="00B8245A">
        <w:t xml:space="preserve"> impact of the two internal modeling approaches on zone temperature dynamics</w:t>
      </w:r>
      <w:r w:rsidR="00B5080A">
        <w:t xml:space="preserve"> are </w:t>
      </w:r>
      <w:r w:rsidR="008C22F5">
        <w:t>illustrated</w:t>
      </w:r>
      <w:r w:rsidR="00B8245A">
        <w:t xml:space="preserve"> by </w:t>
      </w:r>
      <w:r w:rsidR="008C22F5">
        <w:t>adjusting</w:t>
      </w:r>
      <w:r w:rsidR="00B8245A">
        <w:t>: (</w:t>
      </w:r>
      <w:proofErr w:type="spellStart"/>
      <w:r w:rsidR="00F74AF6">
        <w:t>i</w:t>
      </w:r>
      <w:proofErr w:type="spellEnd"/>
      <w:r w:rsidR="00B8245A">
        <w:t>)</w:t>
      </w:r>
      <w:r w:rsidR="005C6698">
        <w:t xml:space="preserve"> the</w:t>
      </w:r>
      <w:r w:rsidR="00B8245A">
        <w:t xml:space="preserve"> </w:t>
      </w:r>
      <w:r w:rsidR="00AD66BF">
        <w:t>surface area</w:t>
      </w:r>
      <w:r w:rsidR="002F0918">
        <w:t xml:space="preserve">,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oMath>
      <w:r w:rsidR="002F0918">
        <w:rPr>
          <w:color w:val="000000"/>
        </w:rPr>
        <w:t xml:space="preserve">, </w:t>
      </w:r>
      <w:r w:rsidR="00AD66BF">
        <w:t>of the internal mass</w:t>
      </w:r>
      <w:r w:rsidR="00A8720B">
        <w:t xml:space="preserve"> </w:t>
      </w:r>
      <w:r w:rsidR="002F0918">
        <w:t xml:space="preserve">in the targeted zone </w:t>
      </w:r>
      <w:r w:rsidR="00316622">
        <w:t>and (</w:t>
      </w:r>
      <w:r w:rsidR="00F74AF6">
        <w:t>ii</w:t>
      </w:r>
      <w:r w:rsidR="00316622">
        <w:t>) the temperature capacity multiplier</w:t>
      </w:r>
      <w:r w:rsidR="002F0918">
        <w:t xml:space="preserve"> of the targeted zone</w:t>
      </w:r>
      <w:r w:rsidR="00AD66BF">
        <w:t>.</w:t>
      </w:r>
      <w:r w:rsidR="008C22F5">
        <w:t xml:space="preserve"> In the following subsections, the numerical model </w:t>
      </w:r>
      <w:r w:rsidR="00550D84">
        <w:t xml:space="preserve">and test settings </w:t>
      </w:r>
      <w:r w:rsidR="008C22F5">
        <w:t xml:space="preserve">will be introduced first, followed by the </w:t>
      </w:r>
      <w:r w:rsidR="00A8720B">
        <w:t>parametric analysis</w:t>
      </w:r>
      <w:r w:rsidR="008C22F5">
        <w:t>.</w:t>
      </w:r>
    </w:p>
    <w:p w14:paraId="39C4A9C3" w14:textId="77777777" w:rsidR="00316622" w:rsidRDefault="00316622" w:rsidP="00316622">
      <w:pPr>
        <w:pStyle w:val="Heading2"/>
      </w:pPr>
      <w:r>
        <w:t>Numerical model and test settings</w:t>
      </w:r>
    </w:p>
    <w:p w14:paraId="48B16C84" w14:textId="60B54D1D" w:rsidR="00316622" w:rsidRDefault="00316622" w:rsidP="00316622">
      <w:r>
        <w:t xml:space="preserve">The ASHRAE 90.1-2004 small office model from the commercial prototype buildings </w:t>
      </w:r>
      <w:r>
        <w:fldChar w:fldCharType="begin"/>
      </w:r>
      <w:r w:rsidR="00E84900">
        <w:instrText xml:space="preserve"> ADDIN EN.CITE &lt;EndNote&gt;&lt;Cite&gt;&lt;Author&gt;U.S. Department of Energy&lt;/Author&gt;&lt;Year&gt;n.d.&lt;/Year&gt;&lt;RecNum&gt;2&lt;/RecNum&gt;&lt;DisplayText&gt;(U.S. Department of Energy, n.d.)&lt;/DisplayText&gt;&lt;record&gt;&lt;rec-number&gt;2&lt;/rec-number&gt;&lt;foreign-keys&gt;&lt;key app="EN" db-id="e2epp5xvs9p5skexse7xssf5tpsprs5zep5d" timestamp="1611608563"&gt;2&lt;/key&gt;&lt;/foreign-keys&gt;&lt;ref-type name="Web Page"&gt;12&lt;/ref-type&gt;&lt;contributors&gt;&lt;authors&gt;&lt;author&gt;U.S. Department of Energy,&lt;/author&gt;&lt;/authors&gt;&lt;/contributors&gt;&lt;titles&gt;&lt;title&gt;Commercial Prototype Building Models&lt;/title&gt;&lt;/titles&gt;&lt;dates&gt;&lt;year&gt;n.d.&lt;/year&gt;&lt;/dates&gt;&lt;urls&gt;&lt;related-urls&gt;&lt;url&gt;https://www.energycodes.gov/development/commercial/prototype_models&lt;/url&gt;&lt;/related-urls&gt;&lt;/urls&gt;&lt;/record&gt;&lt;/Cite&gt;&lt;/EndNote&gt;</w:instrText>
      </w:r>
      <w:r>
        <w:fldChar w:fldCharType="separate"/>
      </w:r>
      <w:r w:rsidR="00E84900">
        <w:rPr>
          <w:noProof/>
        </w:rPr>
        <w:t>(U.S. Department of Energy, n.d.)</w:t>
      </w:r>
      <w:r>
        <w:fldChar w:fldCharType="end"/>
      </w:r>
      <w:r w:rsidR="00B16584">
        <w:t>,</w:t>
      </w:r>
      <w:r>
        <w:t xml:space="preserve"> as shown in </w:t>
      </w:r>
      <w:r>
        <w:fldChar w:fldCharType="begin"/>
      </w:r>
      <w:r>
        <w:instrText xml:space="preserve"> REF _Ref93658994 \h </w:instrText>
      </w:r>
      <w:r>
        <w:fldChar w:fldCharType="separate"/>
      </w:r>
      <w:r w:rsidR="00D5179F">
        <w:t xml:space="preserve">Figure </w:t>
      </w:r>
      <w:r w:rsidR="00D5179F">
        <w:rPr>
          <w:noProof/>
        </w:rPr>
        <w:t>1</w:t>
      </w:r>
      <w:r>
        <w:fldChar w:fldCharType="end"/>
      </w:r>
      <w:r w:rsidR="00B16584">
        <w:t>,</w:t>
      </w:r>
      <w:r>
        <w:t xml:space="preserve"> is selected for the parametric analysis. </w:t>
      </w:r>
    </w:p>
    <w:p w14:paraId="4DC62836" w14:textId="77777777" w:rsidR="00DC5675" w:rsidRDefault="00DC5675" w:rsidP="00DC5675">
      <w:pPr>
        <w:pBdr>
          <w:top w:val="nil"/>
          <w:left w:val="nil"/>
          <w:bottom w:val="nil"/>
          <w:right w:val="nil"/>
          <w:between w:val="nil"/>
        </w:pBdr>
        <w:spacing w:before="60"/>
        <w:rPr>
          <w:color w:val="000000"/>
        </w:rPr>
      </w:pPr>
      <w:r w:rsidRPr="008B3E7E">
        <w:rPr>
          <w:color w:val="000000"/>
        </w:rPr>
        <w:t xml:space="preserve">To illustrate the effect of the parameters on the simulation, the following </w:t>
      </w:r>
      <w:r>
        <w:rPr>
          <w:color w:val="000000"/>
        </w:rPr>
        <w:t xml:space="preserve">simulation </w:t>
      </w:r>
      <w:r w:rsidRPr="008B3E7E">
        <w:rPr>
          <w:color w:val="000000"/>
        </w:rPr>
        <w:t xml:space="preserve">settings </w:t>
      </w:r>
      <w:r>
        <w:rPr>
          <w:color w:val="000000"/>
        </w:rPr>
        <w:t>are</w:t>
      </w:r>
      <w:r w:rsidRPr="008B3E7E">
        <w:rPr>
          <w:color w:val="000000"/>
        </w:rPr>
        <w:t xml:space="preserve"> </w:t>
      </w:r>
      <w:r>
        <w:rPr>
          <w:color w:val="000000"/>
        </w:rPr>
        <w:t>used:</w:t>
      </w:r>
    </w:p>
    <w:p w14:paraId="46018A9D" w14:textId="77777777" w:rsidR="00DC5675" w:rsidRPr="009C6ACA" w:rsidRDefault="00DC5675" w:rsidP="00DC5675">
      <w:pPr>
        <w:numPr>
          <w:ilvl w:val="0"/>
          <w:numId w:val="2"/>
        </w:numPr>
        <w:pBdr>
          <w:top w:val="nil"/>
          <w:left w:val="nil"/>
          <w:bottom w:val="nil"/>
          <w:right w:val="nil"/>
          <w:between w:val="nil"/>
        </w:pBdr>
        <w:tabs>
          <w:tab w:val="left" w:pos="340"/>
        </w:tabs>
        <w:spacing w:after="0"/>
      </w:pPr>
      <w:r>
        <w:t>The simulation period is 1- day and the simulation time step is 1-minute.</w:t>
      </w:r>
    </w:p>
    <w:p w14:paraId="442F918F" w14:textId="77777777" w:rsidR="00DC5675" w:rsidRPr="009C6ACA" w:rsidRDefault="00DC5675" w:rsidP="00DC5675">
      <w:pPr>
        <w:numPr>
          <w:ilvl w:val="0"/>
          <w:numId w:val="2"/>
        </w:numPr>
        <w:pBdr>
          <w:top w:val="nil"/>
          <w:left w:val="nil"/>
          <w:bottom w:val="nil"/>
          <w:right w:val="nil"/>
          <w:between w:val="nil"/>
        </w:pBdr>
        <w:tabs>
          <w:tab w:val="left" w:pos="340"/>
        </w:tabs>
        <w:spacing w:after="0"/>
      </w:pPr>
      <w:r>
        <w:rPr>
          <w:color w:val="000000"/>
        </w:rPr>
        <w:t>All zones are served by ideal load systems.</w:t>
      </w:r>
    </w:p>
    <w:p w14:paraId="6FF003B2" w14:textId="77777777" w:rsidR="00DC5675" w:rsidRPr="009C6ACA" w:rsidRDefault="00DC5675" w:rsidP="00DC5675">
      <w:pPr>
        <w:numPr>
          <w:ilvl w:val="0"/>
          <w:numId w:val="2"/>
        </w:numPr>
        <w:pBdr>
          <w:top w:val="nil"/>
          <w:left w:val="nil"/>
          <w:bottom w:val="nil"/>
          <w:right w:val="nil"/>
          <w:between w:val="nil"/>
        </w:pBdr>
        <w:tabs>
          <w:tab w:val="left" w:pos="340"/>
        </w:tabs>
        <w:spacing w:after="0"/>
      </w:pPr>
      <w:r>
        <w:rPr>
          <w:color w:val="000000"/>
        </w:rPr>
        <w:lastRenderedPageBreak/>
        <w:t xml:space="preserve">Perimeter zones are maintained at 22.22 </w:t>
      </w:r>
      <w:r>
        <w:rPr>
          <w:color w:val="000000"/>
          <w:lang w:eastAsia="zh-CN"/>
        </w:rPr>
        <w:t>°C (72 °F) all day.</w:t>
      </w:r>
    </w:p>
    <w:p w14:paraId="65CAC151" w14:textId="77777777" w:rsidR="00DC5675" w:rsidRDefault="00DC5675" w:rsidP="00DC5675">
      <w:pPr>
        <w:numPr>
          <w:ilvl w:val="0"/>
          <w:numId w:val="2"/>
        </w:numPr>
        <w:pBdr>
          <w:top w:val="nil"/>
          <w:left w:val="nil"/>
          <w:bottom w:val="nil"/>
          <w:right w:val="nil"/>
          <w:between w:val="nil"/>
        </w:pBdr>
        <w:tabs>
          <w:tab w:val="left" w:pos="340"/>
        </w:tabs>
        <w:spacing w:after="0"/>
      </w:pPr>
      <w:proofErr w:type="spellStart"/>
      <w:r>
        <w:t>Core_ZN</w:t>
      </w:r>
      <w:proofErr w:type="spellEnd"/>
      <w:r>
        <w:t xml:space="preserve"> HVAC system is shut down at 12:00 noon.</w:t>
      </w:r>
    </w:p>
    <w:p w14:paraId="2E6731CB" w14:textId="77777777" w:rsidR="00DC5675" w:rsidRPr="00CF5A7C" w:rsidRDefault="00DC5675" w:rsidP="00DC5675">
      <w:pPr>
        <w:pBdr>
          <w:top w:val="nil"/>
          <w:left w:val="nil"/>
          <w:bottom w:val="nil"/>
          <w:right w:val="nil"/>
          <w:between w:val="nil"/>
        </w:pBdr>
        <w:tabs>
          <w:tab w:val="left" w:pos="340"/>
        </w:tabs>
        <w:spacing w:after="0"/>
      </w:pPr>
      <w:r>
        <w:t>Boundary conditions are set to the following constant values to reduce their dynamic impact</w:t>
      </w:r>
      <w:r>
        <w:rPr>
          <w:rFonts w:hint="eastAsia"/>
          <w:lang w:eastAsia="zh-CN"/>
        </w:rPr>
        <w:t>:</w:t>
      </w:r>
      <w:r>
        <w:rPr>
          <w:lang w:eastAsia="zh-CN"/>
        </w:rPr>
        <w:t xml:space="preserve"> </w:t>
      </w:r>
    </w:p>
    <w:p w14:paraId="47EE0BC4" w14:textId="77777777" w:rsidR="00DC5675" w:rsidRPr="00C62AC4" w:rsidRDefault="00DC5675" w:rsidP="00DC5675">
      <w:pPr>
        <w:numPr>
          <w:ilvl w:val="0"/>
          <w:numId w:val="2"/>
        </w:numPr>
        <w:pBdr>
          <w:top w:val="nil"/>
          <w:left w:val="nil"/>
          <w:bottom w:val="nil"/>
          <w:right w:val="nil"/>
          <w:between w:val="nil"/>
        </w:pBdr>
        <w:tabs>
          <w:tab w:val="left" w:pos="340"/>
        </w:tabs>
        <w:spacing w:after="0"/>
      </w:pPr>
      <w:r>
        <w:t>Sky temperature is maintained at 23.89 °C (75 °F)</w:t>
      </w:r>
    </w:p>
    <w:p w14:paraId="124641F0" w14:textId="77777777" w:rsidR="00DC5675" w:rsidRDefault="00DC5675" w:rsidP="00DC5675">
      <w:pPr>
        <w:numPr>
          <w:ilvl w:val="0"/>
          <w:numId w:val="2"/>
        </w:numPr>
        <w:pBdr>
          <w:top w:val="nil"/>
          <w:left w:val="nil"/>
          <w:bottom w:val="nil"/>
          <w:right w:val="nil"/>
          <w:between w:val="nil"/>
        </w:pBdr>
        <w:tabs>
          <w:tab w:val="left" w:pos="340"/>
        </w:tabs>
        <w:spacing w:after="0"/>
      </w:pPr>
      <w:r>
        <w:rPr>
          <w:color w:val="000000"/>
        </w:rPr>
        <w:t>Solar radiation is set to 0.</w:t>
      </w:r>
    </w:p>
    <w:p w14:paraId="2C5C3E99" w14:textId="77777777" w:rsidR="00DC5675" w:rsidRPr="00550D84" w:rsidRDefault="00DC5675" w:rsidP="00DC5675">
      <w:pPr>
        <w:numPr>
          <w:ilvl w:val="0"/>
          <w:numId w:val="2"/>
        </w:numPr>
        <w:pBdr>
          <w:top w:val="nil"/>
          <w:left w:val="nil"/>
          <w:bottom w:val="nil"/>
          <w:right w:val="nil"/>
          <w:between w:val="nil"/>
        </w:pBdr>
        <w:tabs>
          <w:tab w:val="left" w:pos="340"/>
        </w:tabs>
        <w:spacing w:after="0"/>
      </w:pPr>
      <w:r>
        <w:rPr>
          <w:color w:val="000000"/>
        </w:rPr>
        <w:t xml:space="preserve">Outdoor air temperature is set to 22.22 </w:t>
      </w:r>
      <w:r>
        <w:t>°C</w:t>
      </w:r>
      <w:r>
        <w:rPr>
          <w:color w:val="000000"/>
        </w:rPr>
        <w:t xml:space="preserve"> (72 °F).</w:t>
      </w:r>
    </w:p>
    <w:p w14:paraId="69DA4613" w14:textId="77777777" w:rsidR="00DC5675" w:rsidRPr="001E4238" w:rsidRDefault="00DC5675" w:rsidP="00DC5675">
      <w:pPr>
        <w:numPr>
          <w:ilvl w:val="0"/>
          <w:numId w:val="2"/>
        </w:numPr>
        <w:pBdr>
          <w:top w:val="nil"/>
          <w:left w:val="nil"/>
          <w:bottom w:val="nil"/>
          <w:right w:val="nil"/>
          <w:between w:val="nil"/>
        </w:pBdr>
        <w:tabs>
          <w:tab w:val="left" w:pos="340"/>
        </w:tabs>
        <w:spacing w:after="0"/>
      </w:pPr>
      <w:r>
        <w:rPr>
          <w:color w:val="000000"/>
        </w:rPr>
        <w:t>Outdoor air relative humidity is set to 40 %.</w:t>
      </w:r>
    </w:p>
    <w:p w14:paraId="36C2C867" w14:textId="335D802C" w:rsidR="00DC5675" w:rsidRDefault="00DC5675" w:rsidP="00316622">
      <w:pPr>
        <w:numPr>
          <w:ilvl w:val="0"/>
          <w:numId w:val="2"/>
        </w:numPr>
        <w:pBdr>
          <w:top w:val="nil"/>
          <w:left w:val="nil"/>
          <w:bottom w:val="nil"/>
          <w:right w:val="nil"/>
          <w:between w:val="nil"/>
        </w:pBdr>
        <w:tabs>
          <w:tab w:val="left" w:pos="340"/>
        </w:tabs>
        <w:spacing w:after="0"/>
      </w:pPr>
      <w:r>
        <w:rPr>
          <w:color w:val="000000"/>
        </w:rPr>
        <w:t xml:space="preserve">No internal heat gain is added to the zones, except for </w:t>
      </w:r>
      <w:proofErr w:type="spellStart"/>
      <w:r>
        <w:rPr>
          <w:color w:val="000000"/>
        </w:rPr>
        <w:t>Core_ZN</w:t>
      </w:r>
      <w:proofErr w:type="spellEnd"/>
      <w:r>
        <w:rPr>
          <w:color w:val="000000"/>
        </w:rPr>
        <w:t>, in which an</w:t>
      </w:r>
      <w:r w:rsidRPr="00A8720B">
        <w:rPr>
          <w:color w:val="000000"/>
        </w:rPr>
        <w:t xml:space="preserve"> internal heat gain of 6.78</w:t>
      </w:r>
      <w:r>
        <w:rPr>
          <w:color w:val="000000"/>
        </w:rPr>
        <w:t> </w:t>
      </w:r>
      <w:r w:rsidRPr="00A8720B">
        <w:rPr>
          <w:color w:val="000000"/>
        </w:rPr>
        <w:t>W/m</w:t>
      </w:r>
      <w:r w:rsidRPr="00A8720B">
        <w:rPr>
          <w:color w:val="000000"/>
          <w:vertAlign w:val="superscript"/>
        </w:rPr>
        <w:t>2</w:t>
      </w:r>
      <w:r w:rsidRPr="00A8720B">
        <w:rPr>
          <w:color w:val="000000"/>
        </w:rPr>
        <w:t xml:space="preserve"> from electric equipment is added.</w:t>
      </w:r>
    </w:p>
    <w:p w14:paraId="599CD327" w14:textId="283714AE" w:rsidR="00316622" w:rsidRDefault="00A31E30" w:rsidP="00316622">
      <w:pPr>
        <w:pBdr>
          <w:top w:val="nil"/>
          <w:left w:val="nil"/>
          <w:bottom w:val="nil"/>
          <w:right w:val="nil"/>
          <w:between w:val="nil"/>
        </w:pBdr>
        <w:spacing w:before="60"/>
        <w:jc w:val="center"/>
        <w:rPr>
          <w:color w:val="000000"/>
        </w:rPr>
      </w:pPr>
      <w:r>
        <w:rPr>
          <w:noProof/>
        </w:rPr>
        <w:drawing>
          <wp:inline distT="0" distB="0" distL="0" distR="0" wp14:anchorId="738E15DE" wp14:editId="5ED0A881">
            <wp:extent cx="2697480" cy="1812898"/>
            <wp:effectExtent l="0" t="0" r="7620" b="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1812898"/>
                    </a:xfrm>
                    <a:prstGeom prst="rect">
                      <a:avLst/>
                    </a:prstGeom>
                    <a:noFill/>
                    <a:ln>
                      <a:noFill/>
                    </a:ln>
                  </pic:spPr>
                </pic:pic>
              </a:graphicData>
            </a:graphic>
          </wp:inline>
        </w:drawing>
      </w:r>
    </w:p>
    <w:p w14:paraId="705D58C8" w14:textId="31CD89E6" w:rsidR="00316622" w:rsidRDefault="00316622" w:rsidP="00316622">
      <w:pPr>
        <w:pStyle w:val="Caption"/>
      </w:pPr>
      <w:bookmarkStart w:id="2" w:name="_Ref93658994"/>
      <w:r>
        <w:t xml:space="preserve">Figure </w:t>
      </w:r>
      <w:r w:rsidR="00190A02">
        <w:fldChar w:fldCharType="begin"/>
      </w:r>
      <w:r w:rsidR="00190A02">
        <w:instrText xml:space="preserve"> SEQ Figure \* ARABIC </w:instrText>
      </w:r>
      <w:r w:rsidR="00190A02">
        <w:fldChar w:fldCharType="separate"/>
      </w:r>
      <w:r w:rsidR="00D5179F">
        <w:rPr>
          <w:noProof/>
        </w:rPr>
        <w:t>1</w:t>
      </w:r>
      <w:r w:rsidR="00190A02">
        <w:rPr>
          <w:noProof/>
        </w:rPr>
        <w:fldChar w:fldCharType="end"/>
      </w:r>
      <w:bookmarkEnd w:id="2"/>
      <w:r w:rsidRPr="00CF5A7C">
        <w:rPr>
          <w:rStyle w:val="CaptionsChar"/>
          <w:i/>
          <w:color w:val="auto"/>
        </w:rPr>
        <w:t>: Small</w:t>
      </w:r>
      <w:r w:rsidRPr="00CF5A7C">
        <w:rPr>
          <w:rStyle w:val="CaptionsChar"/>
        </w:rPr>
        <w:t xml:space="preserve"> office model floor plan</w:t>
      </w:r>
      <w:r>
        <w:t>.</w:t>
      </w:r>
    </w:p>
    <w:p w14:paraId="16481CB7" w14:textId="4188A202" w:rsidR="00A8720B" w:rsidRPr="002236EA" w:rsidRDefault="00316622" w:rsidP="00A8720B">
      <w:pPr>
        <w:pBdr>
          <w:top w:val="nil"/>
          <w:left w:val="nil"/>
          <w:bottom w:val="nil"/>
          <w:right w:val="nil"/>
          <w:between w:val="nil"/>
        </w:pBdr>
        <w:tabs>
          <w:tab w:val="left" w:pos="340"/>
        </w:tabs>
        <w:rPr>
          <w:color w:val="000000"/>
        </w:rPr>
      </w:pPr>
      <w:r w:rsidRPr="00A8720B">
        <w:t xml:space="preserve">Zone temperature of the </w:t>
      </w:r>
      <w:proofErr w:type="spellStart"/>
      <w:r w:rsidRPr="00A8720B">
        <w:t>Core_ZN</w:t>
      </w:r>
      <w:proofErr w:type="spellEnd"/>
      <w:r w:rsidRPr="00A8720B">
        <w:t xml:space="preserve"> is selected for the investigation, and the results in the following subsections focus on the HVAC shut down period (i.e., 12:00</w:t>
      </w:r>
      <w:r w:rsidR="0047685E">
        <w:t xml:space="preserve"> to </w:t>
      </w:r>
      <w:r w:rsidRPr="00A8720B">
        <w:t xml:space="preserve">24:00). </w:t>
      </w:r>
      <w:r w:rsidR="008D2561">
        <w:t>A closer comparison for z</w:t>
      </w:r>
      <w:r w:rsidRPr="00A8720B">
        <w:t>one temperature</w:t>
      </w:r>
      <w:r>
        <w:rPr>
          <w:color w:val="000000"/>
        </w:rPr>
        <w:t xml:space="preserve"> rise</w:t>
      </w:r>
      <w:r w:rsidR="00A8720B">
        <w:rPr>
          <w:color w:val="000000"/>
        </w:rPr>
        <w:t xml:space="preserve">, </w:t>
      </w:r>
      <w:proofErr w:type="spellStart"/>
      <w:r w:rsidR="00A8720B">
        <w:rPr>
          <w:color w:val="000000"/>
        </w:rPr>
        <w:t>T</w:t>
      </w:r>
      <w:r w:rsidR="00A8720B">
        <w:rPr>
          <w:color w:val="000000"/>
          <w:vertAlign w:val="subscript"/>
        </w:rPr>
        <w:t>rise</w:t>
      </w:r>
      <w:proofErr w:type="spellEnd"/>
      <w:r w:rsidR="00A8720B">
        <w:rPr>
          <w:color w:val="000000"/>
        </w:rPr>
        <w:t xml:space="preserve">, </w:t>
      </w:r>
      <w:r w:rsidR="00C74427">
        <w:rPr>
          <w:color w:val="000000"/>
        </w:rPr>
        <w:t>over a short period of time (</w:t>
      </w:r>
      <w:r>
        <w:rPr>
          <w:color w:val="000000"/>
        </w:rPr>
        <w:t>10 minutes</w:t>
      </w:r>
      <w:r w:rsidR="00C74427">
        <w:rPr>
          <w:color w:val="000000"/>
        </w:rPr>
        <w:t>)</w:t>
      </w:r>
      <w:r>
        <w:rPr>
          <w:color w:val="000000"/>
        </w:rPr>
        <w:t xml:space="preserve"> after system shutdown and the </w:t>
      </w:r>
      <w:r w:rsidR="00B16584">
        <w:rPr>
          <w:color w:val="000000"/>
        </w:rPr>
        <w:t xml:space="preserve">difference between the </w:t>
      </w:r>
      <w:r>
        <w:rPr>
          <w:color w:val="000000"/>
        </w:rPr>
        <w:t>zone temperature at 24:00</w:t>
      </w:r>
      <w:r w:rsidR="00A8720B">
        <w:rPr>
          <w:color w:val="000000"/>
        </w:rPr>
        <w:t xml:space="preserve"> </w:t>
      </w:r>
      <w:r w:rsidR="00B16584">
        <w:rPr>
          <w:color w:val="000000"/>
        </w:rPr>
        <w:t>and the</w:t>
      </w:r>
      <w:r w:rsidR="00A8720B">
        <w:rPr>
          <w:color w:val="000000"/>
        </w:rPr>
        <w:t xml:space="preserve"> baseline </w:t>
      </w:r>
      <w:r w:rsidR="00B16584">
        <w:rPr>
          <w:color w:val="000000"/>
        </w:rPr>
        <w:t>temperature</w:t>
      </w:r>
      <w:r w:rsidR="009E2E34">
        <w:rPr>
          <w:color w:val="000000"/>
        </w:rPr>
        <w:t xml:space="preserve"> at 24:00</w:t>
      </w:r>
      <w:r w:rsidR="00A8720B">
        <w:rPr>
          <w:color w:val="000000"/>
        </w:rPr>
        <w:t xml:space="preserve">, </w:t>
      </w:r>
      <w:proofErr w:type="spellStart"/>
      <w:r w:rsidR="00A8720B">
        <w:rPr>
          <w:color w:val="000000"/>
        </w:rPr>
        <w:t>T</w:t>
      </w:r>
      <w:r w:rsidR="00A8720B">
        <w:rPr>
          <w:color w:val="000000"/>
          <w:vertAlign w:val="subscript"/>
        </w:rPr>
        <w:t>z,ss</w:t>
      </w:r>
      <w:r w:rsidR="00A8720B">
        <w:rPr>
          <w:color w:val="000000"/>
        </w:rPr>
        <w:t>-T</w:t>
      </w:r>
      <w:r w:rsidR="00A8720B">
        <w:rPr>
          <w:color w:val="000000"/>
          <w:vertAlign w:val="subscript"/>
        </w:rPr>
        <w:t>z,ss,baseline</w:t>
      </w:r>
      <w:proofErr w:type="spellEnd"/>
      <w:r w:rsidR="00A8720B">
        <w:rPr>
          <w:color w:val="000000"/>
        </w:rPr>
        <w:t>, are</w:t>
      </w:r>
      <w:r>
        <w:rPr>
          <w:color w:val="000000"/>
        </w:rPr>
        <w:t xml:space="preserve"> presented.</w:t>
      </w:r>
      <w:r w:rsidR="002236EA">
        <w:rPr>
          <w:color w:val="000000"/>
        </w:rPr>
        <w:t xml:space="preserve"> The baseline case has no InternalMass object specified (i.e., </w:t>
      </w:r>
      <w:proofErr w:type="spellStart"/>
      <w:r w:rsidR="002236EA">
        <w:rPr>
          <w:color w:val="000000"/>
        </w:rPr>
        <w:t>IntMassArea</w:t>
      </w:r>
      <w:proofErr w:type="spellEnd"/>
      <w:r w:rsidR="002236EA">
        <w:rPr>
          <w:color w:val="000000"/>
        </w:rPr>
        <w:t>=0) and the zone temperature capacity multiplier is set to 1 (i.e., C</w:t>
      </w:r>
      <w:r w:rsidR="002236EA">
        <w:rPr>
          <w:color w:val="000000"/>
          <w:vertAlign w:val="subscript"/>
        </w:rPr>
        <w:t>T</w:t>
      </w:r>
      <w:r w:rsidR="002236EA">
        <w:rPr>
          <w:color w:val="000000"/>
        </w:rPr>
        <w:t xml:space="preserve">=1). </w:t>
      </w:r>
    </w:p>
    <w:p w14:paraId="3AB7E4F2" w14:textId="77777777" w:rsidR="00316622" w:rsidRDefault="00316622" w:rsidP="00A8720B">
      <w:pPr>
        <w:pStyle w:val="Heading2"/>
      </w:pPr>
      <w:r>
        <w:t>Impact of internal mass surface area</w:t>
      </w:r>
    </w:p>
    <w:p w14:paraId="3BD6DC53" w14:textId="77777777" w:rsidR="00316622" w:rsidRDefault="00316622" w:rsidP="00316622">
      <w:pPr>
        <w:pBdr>
          <w:top w:val="nil"/>
          <w:left w:val="nil"/>
          <w:bottom w:val="nil"/>
          <w:right w:val="nil"/>
          <w:between w:val="nil"/>
        </w:pBdr>
        <w:spacing w:before="60"/>
        <w:rPr>
          <w:color w:val="000000"/>
        </w:rPr>
      </w:pPr>
      <w:r>
        <w:rPr>
          <w:color w:val="000000"/>
        </w:rPr>
        <w:t xml:space="preserve">In this </w:t>
      </w:r>
      <w:r w:rsidRPr="00A8720B">
        <w:t>subsection, four cases with different sizes of internal mass surface area are</w:t>
      </w:r>
      <w:r>
        <w:rPr>
          <w:color w:val="000000"/>
        </w:rPr>
        <w:t xml:space="preserve"> compared. The four cases are:</w:t>
      </w:r>
    </w:p>
    <w:p w14:paraId="3CCF2FC6" w14:textId="1A8474D0" w:rsidR="00316622" w:rsidRPr="009C6ACA" w:rsidRDefault="00316622" w:rsidP="00316622">
      <w:pPr>
        <w:numPr>
          <w:ilvl w:val="0"/>
          <w:numId w:val="2"/>
        </w:numPr>
        <w:pBdr>
          <w:top w:val="nil"/>
          <w:left w:val="nil"/>
          <w:bottom w:val="nil"/>
          <w:right w:val="nil"/>
          <w:between w:val="nil"/>
        </w:pBdr>
        <w:tabs>
          <w:tab w:val="left" w:pos="340"/>
        </w:tabs>
        <w:spacing w:after="0"/>
      </w:pPr>
      <w:proofErr w:type="spellStart"/>
      <w:r>
        <w:t>IntMassArea</w:t>
      </w:r>
      <w:proofErr w:type="spellEnd"/>
      <w:r>
        <w:t>=0</w:t>
      </w:r>
      <w:r w:rsidR="00EF41AA">
        <w:t xml:space="preserve"> (baseline)</w:t>
      </w:r>
      <w:r>
        <w:t>: empty zone</w:t>
      </w:r>
    </w:p>
    <w:p w14:paraId="73688DAD" w14:textId="3B35F737" w:rsidR="00316622" w:rsidRPr="00376402" w:rsidRDefault="00316622" w:rsidP="00316622">
      <w:pPr>
        <w:numPr>
          <w:ilvl w:val="0"/>
          <w:numId w:val="2"/>
        </w:numPr>
        <w:pBdr>
          <w:top w:val="nil"/>
          <w:left w:val="nil"/>
          <w:bottom w:val="nil"/>
          <w:right w:val="nil"/>
          <w:between w:val="nil"/>
        </w:pBdr>
        <w:tabs>
          <w:tab w:val="left" w:pos="340"/>
        </w:tabs>
        <w:spacing w:after="0"/>
      </w:pPr>
      <w:proofErr w:type="spellStart"/>
      <w:r>
        <w:rPr>
          <w:color w:val="000000"/>
        </w:rPr>
        <w:t>IntMassArea</w:t>
      </w:r>
      <w:proofErr w:type="spellEnd"/>
      <w:r>
        <w:rPr>
          <w:color w:val="000000"/>
        </w:rPr>
        <w:t xml:space="preserve">=1xFlrArea: </w:t>
      </w:r>
      <w:r w:rsidR="00A8720B">
        <w:rPr>
          <w:color w:val="000000"/>
        </w:rPr>
        <w:t xml:space="preserve">same </w:t>
      </w:r>
      <w:r>
        <w:rPr>
          <w:color w:val="000000"/>
        </w:rPr>
        <w:t xml:space="preserve">size </w:t>
      </w:r>
      <w:r w:rsidR="00A8720B">
        <w:rPr>
          <w:color w:val="000000"/>
        </w:rPr>
        <w:t>as</w:t>
      </w:r>
      <w:r>
        <w:rPr>
          <w:color w:val="000000"/>
        </w:rPr>
        <w:t xml:space="preserve"> the floor area</w:t>
      </w:r>
    </w:p>
    <w:p w14:paraId="0D102262" w14:textId="47BE9DDB" w:rsidR="00316622" w:rsidRPr="00376402" w:rsidRDefault="00316622" w:rsidP="00316622">
      <w:pPr>
        <w:numPr>
          <w:ilvl w:val="0"/>
          <w:numId w:val="2"/>
        </w:numPr>
        <w:pBdr>
          <w:top w:val="nil"/>
          <w:left w:val="nil"/>
          <w:bottom w:val="nil"/>
          <w:right w:val="nil"/>
          <w:between w:val="nil"/>
        </w:pBdr>
        <w:tabs>
          <w:tab w:val="left" w:pos="340"/>
        </w:tabs>
        <w:spacing w:after="0"/>
      </w:pPr>
      <w:proofErr w:type="spellStart"/>
      <w:r>
        <w:rPr>
          <w:color w:val="000000"/>
        </w:rPr>
        <w:t>IntMassArea</w:t>
      </w:r>
      <w:proofErr w:type="spellEnd"/>
      <w:r>
        <w:rPr>
          <w:color w:val="000000"/>
        </w:rPr>
        <w:t>=2xFlrArea: 2 times the floor area</w:t>
      </w:r>
    </w:p>
    <w:p w14:paraId="3F03B8E2" w14:textId="352C7DEB" w:rsidR="00316622" w:rsidRPr="00376402" w:rsidRDefault="00316622" w:rsidP="00316622">
      <w:pPr>
        <w:numPr>
          <w:ilvl w:val="0"/>
          <w:numId w:val="2"/>
        </w:numPr>
        <w:pBdr>
          <w:top w:val="nil"/>
          <w:left w:val="nil"/>
          <w:bottom w:val="nil"/>
          <w:right w:val="nil"/>
          <w:between w:val="nil"/>
        </w:pBdr>
        <w:tabs>
          <w:tab w:val="left" w:pos="340"/>
        </w:tabs>
        <w:spacing w:after="0"/>
      </w:pPr>
      <w:proofErr w:type="spellStart"/>
      <w:r>
        <w:rPr>
          <w:color w:val="000000"/>
        </w:rPr>
        <w:t>IntMassArea</w:t>
      </w:r>
      <w:proofErr w:type="spellEnd"/>
      <w:r>
        <w:rPr>
          <w:color w:val="000000"/>
        </w:rPr>
        <w:t>=4xFlrArea: 4 times the floor area</w:t>
      </w:r>
    </w:p>
    <w:p w14:paraId="79C791CA" w14:textId="1379E2DC" w:rsidR="00DC5675" w:rsidRDefault="00316622" w:rsidP="00DC5675">
      <w:pPr>
        <w:pBdr>
          <w:top w:val="nil"/>
          <w:left w:val="nil"/>
          <w:bottom w:val="nil"/>
          <w:right w:val="nil"/>
          <w:between w:val="nil"/>
        </w:pBdr>
        <w:spacing w:before="60"/>
        <w:rPr>
          <w:color w:val="000000"/>
        </w:rPr>
      </w:pPr>
      <w:r>
        <w:rPr>
          <w:color w:val="000000"/>
        </w:rPr>
        <w:t xml:space="preserve">The zone temperature capacity multiplier is set to 1 in these cases. The material properties of the internal mass are summarized in </w:t>
      </w:r>
      <w:r w:rsidR="00435C71">
        <w:rPr>
          <w:color w:val="000000"/>
        </w:rPr>
        <w:fldChar w:fldCharType="begin"/>
      </w:r>
      <w:r w:rsidR="00435C71">
        <w:rPr>
          <w:color w:val="000000"/>
        </w:rPr>
        <w:instrText xml:space="preserve"> REF _Ref93672226 \h </w:instrText>
      </w:r>
      <w:r w:rsidR="00435C71">
        <w:rPr>
          <w:color w:val="000000"/>
        </w:rPr>
      </w:r>
      <w:r w:rsidR="00435C71">
        <w:rPr>
          <w:color w:val="000000"/>
        </w:rPr>
        <w:fldChar w:fldCharType="separate"/>
      </w:r>
      <w:r w:rsidR="00D5179F">
        <w:t xml:space="preserve">Table </w:t>
      </w:r>
      <w:r w:rsidR="00D5179F">
        <w:rPr>
          <w:noProof/>
        </w:rPr>
        <w:t>1</w:t>
      </w:r>
      <w:r w:rsidR="00435C71">
        <w:rPr>
          <w:color w:val="000000"/>
        </w:rPr>
        <w:fldChar w:fldCharType="end"/>
      </w:r>
      <w:r>
        <w:rPr>
          <w:color w:val="000000"/>
        </w:rPr>
        <w:t>.</w:t>
      </w:r>
    </w:p>
    <w:p w14:paraId="0CD8812F" w14:textId="18943B7B" w:rsidR="00316622" w:rsidRDefault="00DC5675" w:rsidP="00316622">
      <w:pPr>
        <w:pBdr>
          <w:top w:val="nil"/>
          <w:left w:val="nil"/>
          <w:bottom w:val="nil"/>
          <w:right w:val="nil"/>
          <w:between w:val="nil"/>
        </w:pBdr>
        <w:spacing w:before="60"/>
        <w:rPr>
          <w:color w:val="000000"/>
        </w:rPr>
      </w:pPr>
      <w:r>
        <w:rPr>
          <w:color w:val="000000"/>
        </w:rPr>
        <w:fldChar w:fldCharType="begin"/>
      </w:r>
      <w:r>
        <w:rPr>
          <w:color w:val="000000"/>
        </w:rPr>
        <w:instrText xml:space="preserve"> REF _Ref93672190 \h </w:instrText>
      </w:r>
      <w:r>
        <w:rPr>
          <w:color w:val="000000"/>
        </w:rPr>
      </w:r>
      <w:r>
        <w:rPr>
          <w:color w:val="000000"/>
        </w:rPr>
        <w:fldChar w:fldCharType="separate"/>
      </w:r>
      <w:r w:rsidR="00D5179F">
        <w:t xml:space="preserve">Figure </w:t>
      </w:r>
      <w:r w:rsidR="00D5179F">
        <w:rPr>
          <w:noProof/>
        </w:rPr>
        <w:t>2</w:t>
      </w:r>
      <w:r>
        <w:rPr>
          <w:color w:val="000000"/>
        </w:rPr>
        <w:fldChar w:fldCharType="end"/>
      </w:r>
      <w:r w:rsidRPr="008C20B7">
        <w:rPr>
          <w:color w:val="000000"/>
        </w:rPr>
        <w:t xml:space="preserve"> shows the dynamic profile of the room temperature </w:t>
      </w:r>
      <w:r>
        <w:rPr>
          <w:color w:val="000000"/>
        </w:rPr>
        <w:t xml:space="preserve">of </w:t>
      </w:r>
      <w:proofErr w:type="spellStart"/>
      <w:r>
        <w:rPr>
          <w:color w:val="000000"/>
        </w:rPr>
        <w:t>Core_ZN</w:t>
      </w:r>
      <w:proofErr w:type="spellEnd"/>
      <w:r>
        <w:rPr>
          <w:color w:val="000000"/>
        </w:rPr>
        <w:t xml:space="preserve"> under</w:t>
      </w:r>
      <w:r w:rsidRPr="008C20B7">
        <w:rPr>
          <w:color w:val="000000"/>
        </w:rPr>
        <w:t xml:space="preserve"> </w:t>
      </w:r>
      <w:r>
        <w:rPr>
          <w:color w:val="000000"/>
        </w:rPr>
        <w:t>these four cases. According to the figure, the size of the internal mass surface area plays a significant role in the final temperature at 24:00. This observation is consistent with our analysis of the heat balance equation as these lines are heading towards distinguishable steady states. Its</w:t>
      </w:r>
      <w:r w:rsidRPr="00463E85">
        <w:rPr>
          <w:color w:val="000000"/>
        </w:rPr>
        <w:t xml:space="preserve"> effect on the </w:t>
      </w:r>
      <w:r>
        <w:rPr>
          <w:color w:val="000000"/>
        </w:rPr>
        <w:t xml:space="preserve">initial rate of the </w:t>
      </w:r>
      <w:r w:rsidRPr="00463E85">
        <w:rPr>
          <w:color w:val="000000"/>
        </w:rPr>
        <w:t xml:space="preserve">temperature </w:t>
      </w:r>
      <w:r>
        <w:rPr>
          <w:color w:val="000000"/>
        </w:rPr>
        <w:t xml:space="preserve">variation </w:t>
      </w:r>
      <w:r w:rsidRPr="00463E85">
        <w:rPr>
          <w:color w:val="000000"/>
        </w:rPr>
        <w:t xml:space="preserve">is very </w:t>
      </w:r>
      <w:r>
        <w:rPr>
          <w:color w:val="000000"/>
        </w:rPr>
        <w:t>small</w:t>
      </w:r>
      <w:r w:rsidRPr="00463E85">
        <w:rPr>
          <w:color w:val="000000"/>
        </w:rPr>
        <w:t xml:space="preserve"> during the short </w:t>
      </w:r>
      <w:r>
        <w:rPr>
          <w:color w:val="000000"/>
        </w:rPr>
        <w:t>period</w:t>
      </w:r>
      <w:r w:rsidRPr="00463E85">
        <w:rPr>
          <w:color w:val="000000"/>
        </w:rPr>
        <w:t xml:space="preserve"> after the system shutdown.</w:t>
      </w:r>
    </w:p>
    <w:p w14:paraId="68E09BB3" w14:textId="4D2E8A62" w:rsidR="00316622" w:rsidRPr="00DD0FED" w:rsidRDefault="00435C71" w:rsidP="00435C71">
      <w:pPr>
        <w:pStyle w:val="Caption"/>
        <w:rPr>
          <w:i w:val="0"/>
          <w:color w:val="000000"/>
        </w:rPr>
      </w:pPr>
      <w:bookmarkStart w:id="3" w:name="_Ref93672226"/>
      <w:r>
        <w:t xml:space="preserve">Table </w:t>
      </w:r>
      <w:r w:rsidR="00190A02">
        <w:fldChar w:fldCharType="begin"/>
      </w:r>
      <w:r w:rsidR="00190A02">
        <w:instrText xml:space="preserve"> SEQ Table \* ARABIC </w:instrText>
      </w:r>
      <w:r w:rsidR="00190A02">
        <w:fldChar w:fldCharType="separate"/>
      </w:r>
      <w:r w:rsidR="00D5179F">
        <w:rPr>
          <w:noProof/>
        </w:rPr>
        <w:t>1</w:t>
      </w:r>
      <w:r w:rsidR="00190A02">
        <w:rPr>
          <w:noProof/>
        </w:rPr>
        <w:fldChar w:fldCharType="end"/>
      </w:r>
      <w:bookmarkEnd w:id="3"/>
      <w:r w:rsidR="00316622">
        <w:rPr>
          <w:color w:val="000000"/>
        </w:rPr>
        <w:t>: Internal mass material properties.</w:t>
      </w:r>
    </w:p>
    <w:tbl>
      <w:tblPr>
        <w:tblStyle w:val="a"/>
        <w:tblW w:w="4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5"/>
        <w:gridCol w:w="1615"/>
      </w:tblGrid>
      <w:tr w:rsidR="00316622" w14:paraId="33E60DC3" w14:textId="77777777" w:rsidTr="002D1335">
        <w:trPr>
          <w:jc w:val="center"/>
        </w:trPr>
        <w:tc>
          <w:tcPr>
            <w:tcW w:w="2885" w:type="dxa"/>
            <w:vAlign w:val="center"/>
          </w:tcPr>
          <w:p w14:paraId="0BC201A4"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Name</w:t>
            </w:r>
          </w:p>
        </w:tc>
        <w:tc>
          <w:tcPr>
            <w:tcW w:w="1615" w:type="dxa"/>
            <w:vAlign w:val="center"/>
          </w:tcPr>
          <w:p w14:paraId="2CC59B5D" w14:textId="77777777" w:rsidR="00316622" w:rsidRPr="00DD0FED" w:rsidRDefault="00316622" w:rsidP="002D1335">
            <w:pPr>
              <w:spacing w:after="0" w:line="220" w:lineRule="auto"/>
              <w:jc w:val="center"/>
              <w:rPr>
                <w:color w:val="000000"/>
                <w:sz w:val="18"/>
                <w:szCs w:val="18"/>
              </w:rPr>
            </w:pPr>
            <w:r>
              <w:rPr>
                <w:color w:val="000000"/>
                <w:sz w:val="18"/>
                <w:szCs w:val="18"/>
              </w:rPr>
              <w:t>Std Wood 6inch</w:t>
            </w:r>
          </w:p>
        </w:tc>
      </w:tr>
      <w:tr w:rsidR="00316622" w14:paraId="0A8F4954" w14:textId="77777777" w:rsidTr="002D1335">
        <w:trPr>
          <w:jc w:val="center"/>
        </w:trPr>
        <w:tc>
          <w:tcPr>
            <w:tcW w:w="2885" w:type="dxa"/>
            <w:vAlign w:val="center"/>
          </w:tcPr>
          <w:p w14:paraId="1BAAB68D"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Roughness</w:t>
            </w:r>
          </w:p>
        </w:tc>
        <w:tc>
          <w:tcPr>
            <w:tcW w:w="1615" w:type="dxa"/>
            <w:vAlign w:val="center"/>
          </w:tcPr>
          <w:p w14:paraId="7F2A0859" w14:textId="77777777" w:rsidR="00316622" w:rsidRPr="00DD0FED" w:rsidRDefault="00316622" w:rsidP="002D1335">
            <w:pPr>
              <w:spacing w:after="0" w:line="220" w:lineRule="auto"/>
              <w:jc w:val="center"/>
              <w:rPr>
                <w:color w:val="000000"/>
                <w:sz w:val="18"/>
                <w:szCs w:val="18"/>
              </w:rPr>
            </w:pPr>
            <w:proofErr w:type="spellStart"/>
            <w:r w:rsidRPr="00DD0FED">
              <w:rPr>
                <w:color w:val="000000"/>
                <w:sz w:val="18"/>
                <w:szCs w:val="18"/>
              </w:rPr>
              <w:t>MediumSmooth</w:t>
            </w:r>
            <w:proofErr w:type="spellEnd"/>
          </w:p>
        </w:tc>
      </w:tr>
      <w:tr w:rsidR="00316622" w14:paraId="33F3035E" w14:textId="77777777" w:rsidTr="002D1335">
        <w:trPr>
          <w:jc w:val="center"/>
        </w:trPr>
        <w:tc>
          <w:tcPr>
            <w:tcW w:w="2885" w:type="dxa"/>
            <w:vAlign w:val="center"/>
          </w:tcPr>
          <w:p w14:paraId="35FCCCE5"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Thickness</w:t>
            </w:r>
          </w:p>
        </w:tc>
        <w:tc>
          <w:tcPr>
            <w:tcW w:w="1615" w:type="dxa"/>
            <w:vAlign w:val="center"/>
          </w:tcPr>
          <w:p w14:paraId="3E4D3B91" w14:textId="77777777" w:rsidR="00316622" w:rsidRPr="00DD0FED" w:rsidRDefault="00316622" w:rsidP="002D1335">
            <w:pPr>
              <w:spacing w:after="0" w:line="220" w:lineRule="auto"/>
              <w:jc w:val="center"/>
              <w:rPr>
                <w:color w:val="000000"/>
                <w:sz w:val="18"/>
                <w:szCs w:val="18"/>
              </w:rPr>
            </w:pPr>
            <w:r w:rsidRPr="00DD0FED">
              <w:rPr>
                <w:color w:val="000000"/>
                <w:sz w:val="18"/>
                <w:szCs w:val="18"/>
              </w:rPr>
              <w:t>0.15 m</w:t>
            </w:r>
          </w:p>
        </w:tc>
      </w:tr>
      <w:tr w:rsidR="00316622" w14:paraId="43DECCC6" w14:textId="77777777" w:rsidTr="002D1335">
        <w:trPr>
          <w:jc w:val="center"/>
        </w:trPr>
        <w:tc>
          <w:tcPr>
            <w:tcW w:w="2885" w:type="dxa"/>
            <w:vAlign w:val="center"/>
          </w:tcPr>
          <w:p w14:paraId="0CD4F0E3"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Conductivity</w:t>
            </w:r>
          </w:p>
        </w:tc>
        <w:tc>
          <w:tcPr>
            <w:tcW w:w="1615" w:type="dxa"/>
            <w:vAlign w:val="center"/>
          </w:tcPr>
          <w:p w14:paraId="6029EFBB" w14:textId="77777777" w:rsidR="00316622" w:rsidRPr="00DD0FED" w:rsidRDefault="00316622" w:rsidP="002D1335">
            <w:pPr>
              <w:spacing w:after="0" w:line="220" w:lineRule="auto"/>
              <w:jc w:val="center"/>
              <w:rPr>
                <w:color w:val="000000"/>
                <w:sz w:val="18"/>
                <w:szCs w:val="18"/>
              </w:rPr>
            </w:pPr>
            <w:r w:rsidRPr="00DD0FED">
              <w:rPr>
                <w:color w:val="000000"/>
                <w:sz w:val="18"/>
                <w:szCs w:val="18"/>
              </w:rPr>
              <w:t>0.12 W/m-K</w:t>
            </w:r>
          </w:p>
        </w:tc>
      </w:tr>
      <w:tr w:rsidR="00316622" w14:paraId="3ED41FD4" w14:textId="77777777" w:rsidTr="002D1335">
        <w:trPr>
          <w:jc w:val="center"/>
        </w:trPr>
        <w:tc>
          <w:tcPr>
            <w:tcW w:w="2885" w:type="dxa"/>
            <w:vAlign w:val="center"/>
          </w:tcPr>
          <w:p w14:paraId="55629AB9"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Density</w:t>
            </w:r>
          </w:p>
        </w:tc>
        <w:tc>
          <w:tcPr>
            <w:tcW w:w="1615" w:type="dxa"/>
            <w:vAlign w:val="center"/>
          </w:tcPr>
          <w:p w14:paraId="42D6A065" w14:textId="77777777" w:rsidR="00316622" w:rsidRPr="00DD0FED" w:rsidRDefault="00316622" w:rsidP="002D1335">
            <w:pPr>
              <w:spacing w:after="0" w:line="220" w:lineRule="auto"/>
              <w:jc w:val="center"/>
              <w:rPr>
                <w:color w:val="000000"/>
                <w:sz w:val="18"/>
                <w:szCs w:val="18"/>
              </w:rPr>
            </w:pPr>
            <w:r w:rsidRPr="00DD0FED">
              <w:rPr>
                <w:color w:val="000000"/>
                <w:sz w:val="18"/>
                <w:szCs w:val="18"/>
              </w:rPr>
              <w:t>540 kg/m</w:t>
            </w:r>
            <w:r w:rsidRPr="00650445">
              <w:rPr>
                <w:color w:val="000000"/>
                <w:sz w:val="18"/>
                <w:szCs w:val="18"/>
                <w:vertAlign w:val="superscript"/>
              </w:rPr>
              <w:t>3</w:t>
            </w:r>
          </w:p>
        </w:tc>
      </w:tr>
      <w:tr w:rsidR="00316622" w14:paraId="3BD1D341" w14:textId="77777777" w:rsidTr="002D1335">
        <w:trPr>
          <w:jc w:val="center"/>
        </w:trPr>
        <w:tc>
          <w:tcPr>
            <w:tcW w:w="2885" w:type="dxa"/>
            <w:vAlign w:val="center"/>
          </w:tcPr>
          <w:p w14:paraId="6AD5D963"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Specific Heat</w:t>
            </w:r>
          </w:p>
        </w:tc>
        <w:tc>
          <w:tcPr>
            <w:tcW w:w="1615" w:type="dxa"/>
            <w:vAlign w:val="center"/>
          </w:tcPr>
          <w:p w14:paraId="29018ED9" w14:textId="77777777" w:rsidR="00316622" w:rsidRPr="00DD0FED" w:rsidRDefault="00316622" w:rsidP="002D1335">
            <w:pPr>
              <w:spacing w:after="0" w:line="220" w:lineRule="auto"/>
              <w:jc w:val="center"/>
              <w:rPr>
                <w:color w:val="000000"/>
                <w:sz w:val="18"/>
                <w:szCs w:val="18"/>
              </w:rPr>
            </w:pPr>
            <w:r w:rsidRPr="00DD0FED">
              <w:rPr>
                <w:color w:val="000000"/>
                <w:sz w:val="18"/>
                <w:szCs w:val="18"/>
              </w:rPr>
              <w:t>1210 J/</w:t>
            </w:r>
            <w:proofErr w:type="gramStart"/>
            <w:r w:rsidRPr="00DD0FED">
              <w:rPr>
                <w:color w:val="000000"/>
                <w:sz w:val="18"/>
                <w:szCs w:val="18"/>
              </w:rPr>
              <w:t>kg-K</w:t>
            </w:r>
            <w:proofErr w:type="gramEnd"/>
          </w:p>
        </w:tc>
      </w:tr>
      <w:tr w:rsidR="00316622" w14:paraId="033DA89B" w14:textId="77777777" w:rsidTr="002D1335">
        <w:trPr>
          <w:jc w:val="center"/>
        </w:trPr>
        <w:tc>
          <w:tcPr>
            <w:tcW w:w="2885" w:type="dxa"/>
            <w:vAlign w:val="center"/>
          </w:tcPr>
          <w:p w14:paraId="7BA235D5"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Thermal Absorptance</w:t>
            </w:r>
          </w:p>
        </w:tc>
        <w:tc>
          <w:tcPr>
            <w:tcW w:w="1615" w:type="dxa"/>
            <w:vAlign w:val="center"/>
          </w:tcPr>
          <w:p w14:paraId="18F828B0" w14:textId="77777777" w:rsidR="00316622" w:rsidRPr="00DD0FED" w:rsidRDefault="00316622" w:rsidP="002D1335">
            <w:pPr>
              <w:spacing w:after="0" w:line="220" w:lineRule="auto"/>
              <w:jc w:val="center"/>
              <w:rPr>
                <w:color w:val="000000"/>
                <w:sz w:val="18"/>
                <w:szCs w:val="18"/>
              </w:rPr>
            </w:pPr>
            <w:r w:rsidRPr="00DD0FED">
              <w:rPr>
                <w:color w:val="000000"/>
                <w:sz w:val="18"/>
                <w:szCs w:val="18"/>
              </w:rPr>
              <w:t>0.9</w:t>
            </w:r>
          </w:p>
        </w:tc>
      </w:tr>
      <w:tr w:rsidR="00316622" w14:paraId="5CA14F5C" w14:textId="77777777" w:rsidTr="002D1335">
        <w:trPr>
          <w:jc w:val="center"/>
        </w:trPr>
        <w:tc>
          <w:tcPr>
            <w:tcW w:w="2885" w:type="dxa"/>
            <w:vAlign w:val="center"/>
          </w:tcPr>
          <w:p w14:paraId="6F79EC6A"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Solar Absorptance</w:t>
            </w:r>
          </w:p>
        </w:tc>
        <w:tc>
          <w:tcPr>
            <w:tcW w:w="1615" w:type="dxa"/>
            <w:vAlign w:val="center"/>
          </w:tcPr>
          <w:p w14:paraId="336FA1DC" w14:textId="77777777" w:rsidR="00316622" w:rsidRPr="00DD0FED" w:rsidRDefault="00316622" w:rsidP="002D1335">
            <w:pPr>
              <w:spacing w:after="0" w:line="220" w:lineRule="auto"/>
              <w:jc w:val="center"/>
              <w:rPr>
                <w:color w:val="000000"/>
                <w:sz w:val="18"/>
                <w:szCs w:val="18"/>
              </w:rPr>
            </w:pPr>
            <w:r w:rsidRPr="00DD0FED">
              <w:rPr>
                <w:color w:val="000000"/>
                <w:sz w:val="18"/>
                <w:szCs w:val="18"/>
              </w:rPr>
              <w:t>0.7</w:t>
            </w:r>
          </w:p>
        </w:tc>
      </w:tr>
      <w:tr w:rsidR="00316622" w14:paraId="53F79F08" w14:textId="77777777" w:rsidTr="002D1335">
        <w:trPr>
          <w:jc w:val="center"/>
        </w:trPr>
        <w:tc>
          <w:tcPr>
            <w:tcW w:w="2885" w:type="dxa"/>
            <w:vAlign w:val="center"/>
          </w:tcPr>
          <w:p w14:paraId="336E5F7A" w14:textId="77777777" w:rsidR="00316622" w:rsidRPr="00DD0FED" w:rsidRDefault="00316622" w:rsidP="002D1335">
            <w:pPr>
              <w:spacing w:after="0" w:line="220" w:lineRule="auto"/>
              <w:jc w:val="center"/>
              <w:rPr>
                <w:b/>
                <w:bCs/>
                <w:color w:val="000000"/>
                <w:sz w:val="18"/>
                <w:szCs w:val="18"/>
              </w:rPr>
            </w:pPr>
            <w:r w:rsidRPr="00DD0FED">
              <w:rPr>
                <w:b/>
                <w:bCs/>
                <w:color w:val="000000"/>
                <w:sz w:val="18"/>
                <w:szCs w:val="18"/>
              </w:rPr>
              <w:t>Visible Absorptance</w:t>
            </w:r>
          </w:p>
        </w:tc>
        <w:tc>
          <w:tcPr>
            <w:tcW w:w="1615" w:type="dxa"/>
            <w:vAlign w:val="center"/>
          </w:tcPr>
          <w:p w14:paraId="2C51AA1B" w14:textId="77777777" w:rsidR="00316622" w:rsidRPr="00DD0FED" w:rsidRDefault="00316622" w:rsidP="002D1335">
            <w:pPr>
              <w:spacing w:after="0" w:line="220" w:lineRule="auto"/>
              <w:jc w:val="center"/>
              <w:rPr>
                <w:color w:val="000000"/>
                <w:sz w:val="18"/>
                <w:szCs w:val="18"/>
              </w:rPr>
            </w:pPr>
            <w:r w:rsidRPr="00DD0FED">
              <w:rPr>
                <w:color w:val="000000"/>
                <w:sz w:val="18"/>
                <w:szCs w:val="18"/>
              </w:rPr>
              <w:t>0.7</w:t>
            </w:r>
          </w:p>
        </w:tc>
      </w:tr>
    </w:tbl>
    <w:p w14:paraId="63452AC8" w14:textId="1B5C634F" w:rsidR="00316622" w:rsidRDefault="00BE35D6" w:rsidP="004B3F61">
      <w:pPr>
        <w:pBdr>
          <w:top w:val="nil"/>
          <w:left w:val="nil"/>
          <w:bottom w:val="nil"/>
          <w:right w:val="nil"/>
          <w:between w:val="nil"/>
        </w:pBdr>
        <w:spacing w:before="60"/>
        <w:jc w:val="center"/>
        <w:rPr>
          <w:color w:val="000000"/>
        </w:rPr>
      </w:pPr>
      <w:r w:rsidRPr="00BE35D6">
        <w:rPr>
          <w:noProof/>
          <w:color w:val="000000"/>
        </w:rPr>
        <w:drawing>
          <wp:inline distT="0" distB="0" distL="0" distR="0" wp14:anchorId="499CDD8F" wp14:editId="2ADEAFBE">
            <wp:extent cx="2935224" cy="161101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5224" cy="1611011"/>
                    </a:xfrm>
                    <a:prstGeom prst="rect">
                      <a:avLst/>
                    </a:prstGeom>
                    <a:noFill/>
                    <a:ln>
                      <a:noFill/>
                    </a:ln>
                  </pic:spPr>
                </pic:pic>
              </a:graphicData>
            </a:graphic>
          </wp:inline>
        </w:drawing>
      </w:r>
    </w:p>
    <w:p w14:paraId="6F872A86" w14:textId="51625072" w:rsidR="00316622" w:rsidRDefault="00316622" w:rsidP="00316622">
      <w:pPr>
        <w:pStyle w:val="Caption"/>
        <w:rPr>
          <w:color w:val="000000"/>
        </w:rPr>
      </w:pPr>
      <w:bookmarkStart w:id="4" w:name="_Ref93672190"/>
      <w:r>
        <w:t xml:space="preserve">Figure </w:t>
      </w:r>
      <w:r w:rsidR="00190A02">
        <w:fldChar w:fldCharType="begin"/>
      </w:r>
      <w:r w:rsidR="00190A02">
        <w:instrText xml:space="preserve"> SEQ Figure \* ARABIC </w:instrText>
      </w:r>
      <w:r w:rsidR="00190A02">
        <w:fldChar w:fldCharType="separate"/>
      </w:r>
      <w:r w:rsidR="00D5179F">
        <w:rPr>
          <w:noProof/>
        </w:rPr>
        <w:t>2</w:t>
      </w:r>
      <w:r w:rsidR="00190A02">
        <w:rPr>
          <w:noProof/>
        </w:rPr>
        <w:fldChar w:fldCharType="end"/>
      </w:r>
      <w:bookmarkEnd w:id="4"/>
      <w:r>
        <w:rPr>
          <w:color w:val="000000"/>
        </w:rPr>
        <w:t xml:space="preserve">: Temperature dynamics </w:t>
      </w:r>
      <w:r w:rsidR="00B01A79">
        <w:rPr>
          <w:color w:val="000000"/>
        </w:rPr>
        <w:t xml:space="preserve">of </w:t>
      </w:r>
      <w:proofErr w:type="spellStart"/>
      <w:r w:rsidR="00B01A79">
        <w:rPr>
          <w:color w:val="000000"/>
        </w:rPr>
        <w:t>Core_ZN</w:t>
      </w:r>
      <w:proofErr w:type="spellEnd"/>
      <w:r w:rsidR="00B01A79">
        <w:rPr>
          <w:color w:val="000000"/>
        </w:rPr>
        <w:t xml:space="preserve"> </w:t>
      </w:r>
      <w:r>
        <w:rPr>
          <w:color w:val="000000"/>
        </w:rPr>
        <w:t>under different sizes of internal mass surface area.</w:t>
      </w:r>
    </w:p>
    <w:p w14:paraId="15B9CD15" w14:textId="57917B1C" w:rsidR="008D2561" w:rsidRPr="008D2561" w:rsidRDefault="008D2561" w:rsidP="008D2561">
      <w:pPr>
        <w:pBdr>
          <w:top w:val="nil"/>
          <w:left w:val="nil"/>
          <w:bottom w:val="nil"/>
          <w:right w:val="nil"/>
          <w:between w:val="nil"/>
        </w:pBdr>
        <w:spacing w:before="60"/>
        <w:rPr>
          <w:color w:val="000000"/>
        </w:rPr>
      </w:pPr>
      <w:r w:rsidRPr="005C4240">
        <w:rPr>
          <w:color w:val="000000"/>
        </w:rPr>
        <w:t xml:space="preserve">According to the data in </w:t>
      </w:r>
      <w:r>
        <w:rPr>
          <w:color w:val="000000"/>
        </w:rPr>
        <w:fldChar w:fldCharType="begin"/>
      </w:r>
      <w:r>
        <w:rPr>
          <w:color w:val="000000"/>
        </w:rPr>
        <w:instrText xml:space="preserve"> REF _Ref93699169 \h </w:instrText>
      </w:r>
      <w:r>
        <w:rPr>
          <w:color w:val="000000"/>
        </w:rPr>
      </w:r>
      <w:r>
        <w:rPr>
          <w:color w:val="000000"/>
        </w:rPr>
        <w:fldChar w:fldCharType="separate"/>
      </w:r>
      <w:r w:rsidR="00D5179F">
        <w:t xml:space="preserve">Table </w:t>
      </w:r>
      <w:r w:rsidR="00D5179F">
        <w:rPr>
          <w:noProof/>
        </w:rPr>
        <w:t>2</w:t>
      </w:r>
      <w:r>
        <w:rPr>
          <w:color w:val="000000"/>
        </w:rPr>
        <w:fldChar w:fldCharType="end"/>
      </w:r>
      <w:r w:rsidRPr="005C4240">
        <w:rPr>
          <w:color w:val="000000"/>
        </w:rPr>
        <w:t xml:space="preserve">, </w:t>
      </w:r>
      <w:r w:rsidR="00EF41AA">
        <w:rPr>
          <w:color w:val="000000"/>
        </w:rPr>
        <w:t xml:space="preserve">from a no internal mass scenario (i.e., </w:t>
      </w:r>
      <w:proofErr w:type="spellStart"/>
      <w:r w:rsidR="00EF41AA">
        <w:rPr>
          <w:color w:val="000000"/>
        </w:rPr>
        <w:t>IntMassArea</w:t>
      </w:r>
      <w:proofErr w:type="spellEnd"/>
      <w:r w:rsidR="00EF41AA">
        <w:rPr>
          <w:color w:val="000000"/>
        </w:rPr>
        <w:t xml:space="preserve">=0) to </w:t>
      </w:r>
      <w:r w:rsidR="00775217">
        <w:rPr>
          <w:color w:val="000000"/>
        </w:rPr>
        <w:t xml:space="preserve">a very </w:t>
      </w:r>
      <w:r w:rsidR="00EF41AA">
        <w:rPr>
          <w:color w:val="000000"/>
        </w:rPr>
        <w:t xml:space="preserve">heavy internal mass scenario (i.e., </w:t>
      </w:r>
      <w:proofErr w:type="spellStart"/>
      <w:r w:rsidR="00EF41AA">
        <w:rPr>
          <w:color w:val="000000"/>
        </w:rPr>
        <w:t>IntMassArea</w:t>
      </w:r>
      <w:proofErr w:type="spellEnd"/>
      <w:r w:rsidR="00EF41AA">
        <w:rPr>
          <w:color w:val="000000"/>
        </w:rPr>
        <w:t>=4xFlrArea)</w:t>
      </w:r>
      <w:r w:rsidR="00DB1575">
        <w:rPr>
          <w:color w:val="000000"/>
        </w:rPr>
        <w:t xml:space="preserve"> </w:t>
      </w:r>
      <w:r w:rsidR="00871FB5">
        <w:rPr>
          <w:rFonts w:hint="eastAsia"/>
          <w:color w:val="000000"/>
          <w:lang w:eastAsia="zh-CN"/>
        </w:rPr>
        <w:t>in</w:t>
      </w:r>
      <w:r w:rsidR="00871FB5">
        <w:rPr>
          <w:color w:val="000000"/>
        </w:rPr>
        <w:t xml:space="preserve"> the opinion of </w:t>
      </w:r>
      <w:r w:rsidR="00EA3255">
        <w:rPr>
          <w:color w:val="000000"/>
        </w:rPr>
        <w:t xml:space="preserve"> </w:t>
      </w:r>
      <w:r w:rsidR="00EA3255">
        <w:fldChar w:fldCharType="begin"/>
      </w:r>
      <w:r w:rsidR="00D471B9">
        <w:instrText xml:space="preserve"> ADDIN EN.CITE &lt;EndNote&gt;&lt;Cite&gt;&lt;Author&gt;Raftery&lt;/Author&gt;&lt;Year&gt;2014&lt;/Year&gt;&lt;RecNum&gt;138&lt;/RecNum&gt;&lt;DisplayText&gt;(Raftery et al., 2014)&lt;/DisplayText&gt;&lt;record&gt;&lt;rec-number&gt;138&lt;/rec-number&gt;&lt;foreign-keys&gt;&lt;key app="EN" db-id="e2epp5xvs9p5skexse7xssf5tpsprs5zep5d" timestamp="1616773158"&gt;138&lt;/key&gt;&lt;/foreign-keys&gt;&lt;ref-type name="Journal Article"&gt;17&lt;/ref-type&gt;&lt;contributors&gt;&lt;authors&gt;&lt;author&gt;Raftery, Paul&lt;/author&gt;&lt;author&gt;Lee, Edwin&lt;/author&gt;&lt;author&gt;Webster, Tom&lt;/author&gt;&lt;author&gt;Hoyt, Tyler&lt;/author&gt;&lt;author&gt;Bauman, Fred&lt;/author&gt;&lt;/authors&gt;&lt;/contributors&gt;&lt;titles&gt;&lt;title&gt;Effects of furniture and contents on peak cooling load&lt;/title&gt;&lt;secondary-title&gt;Energy and Buildings&lt;/secondary-title&gt;&lt;/titles&gt;&lt;periodical&gt;&lt;full-title&gt;Energy and Buildings&lt;/full-title&gt;&lt;/periodical&gt;&lt;pages&gt;445-457&lt;/pages&gt;&lt;volume&gt;85&lt;/volume&gt;&lt;dates&gt;&lt;year&gt;2014&lt;/year&gt;&lt;/dates&gt;&lt;isbn&gt;0378-7788&lt;/isbn&gt;&lt;urls&gt;&lt;/urls&gt;&lt;/record&gt;&lt;/Cite&gt;&lt;/EndNote&gt;</w:instrText>
      </w:r>
      <w:r w:rsidR="00EA3255">
        <w:fldChar w:fldCharType="separate"/>
      </w:r>
      <w:r w:rsidR="00D471B9">
        <w:rPr>
          <w:noProof/>
        </w:rPr>
        <w:t xml:space="preserve">Raftery et al. </w:t>
      </w:r>
      <w:r w:rsidR="00C74427">
        <w:rPr>
          <w:noProof/>
        </w:rPr>
        <w:t>(</w:t>
      </w:r>
      <w:r w:rsidR="00D471B9">
        <w:rPr>
          <w:noProof/>
        </w:rPr>
        <w:t>2014)</w:t>
      </w:r>
      <w:r w:rsidR="00EA3255">
        <w:fldChar w:fldCharType="end"/>
      </w:r>
      <w:r w:rsidR="00EF41AA">
        <w:rPr>
          <w:color w:val="000000"/>
        </w:rPr>
        <w:t xml:space="preserve">, </w:t>
      </w:r>
      <w:r>
        <w:rPr>
          <w:color w:val="000000"/>
        </w:rPr>
        <w:t xml:space="preserve"> </w:t>
      </w:r>
      <w:r w:rsidRPr="00C03AED">
        <w:rPr>
          <w:color w:val="000000"/>
        </w:rPr>
        <w:t xml:space="preserve">the </w:t>
      </w:r>
      <w:r>
        <w:rPr>
          <w:color w:val="000000"/>
        </w:rPr>
        <w:t xml:space="preserve">zone </w:t>
      </w:r>
      <w:r w:rsidRPr="00C03AED">
        <w:rPr>
          <w:color w:val="000000"/>
        </w:rPr>
        <w:t xml:space="preserve">temperature </w:t>
      </w:r>
      <w:r>
        <w:rPr>
          <w:color w:val="000000"/>
        </w:rPr>
        <w:t xml:space="preserve">rise </w:t>
      </w:r>
      <w:r w:rsidRPr="00C03AED">
        <w:rPr>
          <w:color w:val="000000"/>
        </w:rPr>
        <w:t>10 minutes after</w:t>
      </w:r>
      <w:r>
        <w:rPr>
          <w:color w:val="000000"/>
        </w:rPr>
        <w:t xml:space="preserve"> the system</w:t>
      </w:r>
      <w:r w:rsidRPr="00C03AED">
        <w:rPr>
          <w:color w:val="000000"/>
        </w:rPr>
        <w:t xml:space="preserve"> shutdown decreases by only 0.13</w:t>
      </w:r>
      <w:r>
        <w:rPr>
          <w:color w:val="000000"/>
        </w:rPr>
        <w:t xml:space="preserve"> </w:t>
      </w:r>
      <w:r>
        <w:rPr>
          <w:color w:val="000000"/>
          <w:lang w:eastAsia="zh-CN"/>
        </w:rPr>
        <w:t>°</w:t>
      </w:r>
      <w:r w:rsidRPr="00C03AED">
        <w:rPr>
          <w:color w:val="000000"/>
        </w:rPr>
        <w:t>C.</w:t>
      </w:r>
      <w:r>
        <w:rPr>
          <w:rFonts w:hint="eastAsia"/>
          <w:color w:val="000000"/>
          <w:lang w:eastAsia="zh-CN"/>
        </w:rPr>
        <w:t xml:space="preserve"> </w:t>
      </w:r>
      <w:r w:rsidRPr="00013F67">
        <w:rPr>
          <w:color w:val="000000"/>
          <w:lang w:eastAsia="zh-CN"/>
        </w:rPr>
        <w:t xml:space="preserve">In other words, the temperature of a </w:t>
      </w:r>
      <w:r>
        <w:rPr>
          <w:color w:val="000000"/>
          <w:lang w:eastAsia="zh-CN"/>
        </w:rPr>
        <w:t>zone</w:t>
      </w:r>
      <w:r w:rsidRPr="00013F67">
        <w:rPr>
          <w:color w:val="000000"/>
          <w:lang w:eastAsia="zh-CN"/>
        </w:rPr>
        <w:t xml:space="preserve"> with </w:t>
      </w:r>
      <w:r>
        <w:rPr>
          <w:color w:val="000000"/>
          <w:lang w:eastAsia="zh-CN"/>
        </w:rPr>
        <w:t>heavy</w:t>
      </w:r>
      <w:r w:rsidRPr="00013F67">
        <w:rPr>
          <w:color w:val="000000"/>
          <w:lang w:eastAsia="zh-CN"/>
        </w:rPr>
        <w:t xml:space="preserve"> internal mass </w:t>
      </w:r>
      <w:r>
        <w:rPr>
          <w:color w:val="000000"/>
          <w:lang w:eastAsia="zh-CN"/>
        </w:rPr>
        <w:t xml:space="preserve">behaves </w:t>
      </w:r>
      <w:r w:rsidR="00871FB5">
        <w:rPr>
          <w:color w:val="000000"/>
          <w:lang w:eastAsia="zh-CN"/>
        </w:rPr>
        <w:t xml:space="preserve">almost </w:t>
      </w:r>
      <w:r>
        <w:rPr>
          <w:color w:val="000000"/>
          <w:lang w:eastAsia="zh-CN"/>
        </w:rPr>
        <w:t>the same</w:t>
      </w:r>
      <w:r w:rsidRPr="00013F67">
        <w:rPr>
          <w:color w:val="000000"/>
          <w:lang w:eastAsia="zh-CN"/>
        </w:rPr>
        <w:t xml:space="preserve"> </w:t>
      </w:r>
      <w:r>
        <w:rPr>
          <w:color w:val="000000"/>
          <w:lang w:eastAsia="zh-CN"/>
        </w:rPr>
        <w:t>as</w:t>
      </w:r>
      <w:r w:rsidRPr="00013F67">
        <w:rPr>
          <w:color w:val="000000"/>
          <w:lang w:eastAsia="zh-CN"/>
        </w:rPr>
        <w:t xml:space="preserve"> the </w:t>
      </w:r>
      <w:r>
        <w:rPr>
          <w:color w:val="000000"/>
          <w:lang w:eastAsia="zh-CN"/>
        </w:rPr>
        <w:t>zone</w:t>
      </w:r>
      <w:r w:rsidRPr="00013F67">
        <w:rPr>
          <w:color w:val="000000"/>
          <w:lang w:eastAsia="zh-CN"/>
        </w:rPr>
        <w:t xml:space="preserve"> temperature </w:t>
      </w:r>
      <w:r>
        <w:rPr>
          <w:color w:val="000000"/>
          <w:lang w:eastAsia="zh-CN"/>
        </w:rPr>
        <w:t>in</w:t>
      </w:r>
      <w:r w:rsidRPr="00013F67">
        <w:rPr>
          <w:color w:val="000000"/>
          <w:lang w:eastAsia="zh-CN"/>
        </w:rPr>
        <w:t xml:space="preserve"> an empty room</w:t>
      </w:r>
      <w:r w:rsidR="00871FB5">
        <w:rPr>
          <w:color w:val="000000"/>
          <w:lang w:eastAsia="zh-CN"/>
        </w:rPr>
        <w:t xml:space="preserve"> in the initial transition period</w:t>
      </w:r>
      <w:r>
        <w:rPr>
          <w:color w:val="000000"/>
          <w:lang w:eastAsia="zh-CN"/>
        </w:rPr>
        <w:t xml:space="preserve">. </w:t>
      </w:r>
    </w:p>
    <w:p w14:paraId="0BA40372" w14:textId="2A05B3E7" w:rsidR="00316622" w:rsidRPr="00435C71" w:rsidRDefault="00435C71" w:rsidP="00435C71">
      <w:pPr>
        <w:pStyle w:val="Caption"/>
        <w:keepNext/>
      </w:pPr>
      <w:bookmarkStart w:id="5" w:name="_Ref93699169"/>
      <w:r>
        <w:t xml:space="preserve">Table </w:t>
      </w:r>
      <w:r w:rsidR="00190A02">
        <w:fldChar w:fldCharType="begin"/>
      </w:r>
      <w:r w:rsidR="00190A02">
        <w:instrText xml:space="preserve"> SEQ Table \* ARABIC </w:instrText>
      </w:r>
      <w:r w:rsidR="00190A02">
        <w:fldChar w:fldCharType="separate"/>
      </w:r>
      <w:r w:rsidR="00D5179F">
        <w:rPr>
          <w:noProof/>
        </w:rPr>
        <w:t>2</w:t>
      </w:r>
      <w:r w:rsidR="00190A02">
        <w:rPr>
          <w:noProof/>
        </w:rPr>
        <w:fldChar w:fldCharType="end"/>
      </w:r>
      <w:bookmarkEnd w:id="5"/>
      <w:r w:rsidR="00316622">
        <w:rPr>
          <w:color w:val="000000"/>
        </w:rPr>
        <w:t xml:space="preserve">: Temperature </w:t>
      </w:r>
      <w:r>
        <w:rPr>
          <w:color w:val="000000"/>
        </w:rPr>
        <w:t>data comparison</w:t>
      </w:r>
      <w:r w:rsidR="00316622">
        <w:rPr>
          <w:color w:val="000000"/>
        </w:rPr>
        <w:t xml:space="preserve"> under different sizes of internal mass surface area</w:t>
      </w:r>
    </w:p>
    <w:tbl>
      <w:tblPr>
        <w:tblStyle w:val="a"/>
        <w:tblW w:w="4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990"/>
        <w:gridCol w:w="810"/>
        <w:gridCol w:w="1530"/>
      </w:tblGrid>
      <w:tr w:rsidR="00EF41AA" w14:paraId="047AE610" w14:textId="77777777" w:rsidTr="00222EBE">
        <w:trPr>
          <w:jc w:val="center"/>
        </w:trPr>
        <w:tc>
          <w:tcPr>
            <w:tcW w:w="1435" w:type="dxa"/>
            <w:vAlign w:val="center"/>
          </w:tcPr>
          <w:p w14:paraId="2E24F5B2" w14:textId="77777777" w:rsidR="00EF41AA" w:rsidRDefault="00EF41AA" w:rsidP="002D1335">
            <w:pPr>
              <w:pBdr>
                <w:top w:val="nil"/>
                <w:left w:val="nil"/>
                <w:bottom w:val="nil"/>
                <w:right w:val="nil"/>
                <w:between w:val="nil"/>
              </w:pBdr>
              <w:spacing w:after="0" w:line="220" w:lineRule="auto"/>
              <w:jc w:val="center"/>
              <w:rPr>
                <w:b/>
                <w:smallCaps/>
                <w:color w:val="000000"/>
                <w:sz w:val="18"/>
                <w:szCs w:val="18"/>
              </w:rPr>
            </w:pPr>
            <w:r>
              <w:rPr>
                <w:b/>
                <w:color w:val="000000"/>
                <w:sz w:val="18"/>
                <w:szCs w:val="18"/>
              </w:rPr>
              <w:t>Case</w:t>
            </w:r>
          </w:p>
        </w:tc>
        <w:tc>
          <w:tcPr>
            <w:tcW w:w="990" w:type="dxa"/>
          </w:tcPr>
          <w:p w14:paraId="0854D939" w14:textId="4A924615" w:rsidR="00EF41AA" w:rsidRPr="00EF41AA" w:rsidRDefault="00EF41AA" w:rsidP="002D1335">
            <w:pPr>
              <w:pBdr>
                <w:top w:val="nil"/>
                <w:left w:val="nil"/>
                <w:bottom w:val="nil"/>
                <w:right w:val="nil"/>
                <w:between w:val="nil"/>
              </w:pBdr>
              <w:spacing w:after="0" w:line="220" w:lineRule="auto"/>
              <w:jc w:val="center"/>
              <w:rPr>
                <w:b/>
                <w:color w:val="000000"/>
                <w:sz w:val="18"/>
                <w:szCs w:val="18"/>
              </w:rPr>
            </w:pPr>
            <w:r>
              <w:rPr>
                <w:b/>
                <w:color w:val="000000"/>
                <w:sz w:val="18"/>
                <w:szCs w:val="18"/>
              </w:rPr>
              <w:t>Mass per area [kg/m</w:t>
            </w:r>
            <w:r>
              <w:rPr>
                <w:b/>
                <w:color w:val="000000"/>
                <w:sz w:val="18"/>
                <w:szCs w:val="18"/>
                <w:vertAlign w:val="superscript"/>
              </w:rPr>
              <w:t>2</w:t>
            </w:r>
            <w:r>
              <w:rPr>
                <w:b/>
                <w:color w:val="000000"/>
                <w:sz w:val="18"/>
                <w:szCs w:val="18"/>
              </w:rPr>
              <w:t>]</w:t>
            </w:r>
          </w:p>
        </w:tc>
        <w:tc>
          <w:tcPr>
            <w:tcW w:w="810" w:type="dxa"/>
            <w:vAlign w:val="center"/>
          </w:tcPr>
          <w:p w14:paraId="5AF279DD" w14:textId="4C08CAB1" w:rsidR="00EF41AA" w:rsidRPr="007514D0" w:rsidRDefault="00EF41AA" w:rsidP="002D1335">
            <w:pPr>
              <w:pBdr>
                <w:top w:val="nil"/>
                <w:left w:val="nil"/>
                <w:bottom w:val="nil"/>
                <w:right w:val="nil"/>
                <w:between w:val="nil"/>
              </w:pBdr>
              <w:spacing w:after="0" w:line="220" w:lineRule="auto"/>
              <w:jc w:val="center"/>
              <w:rPr>
                <w:b/>
                <w:smallCaps/>
                <w:color w:val="000000"/>
                <w:sz w:val="18"/>
                <w:szCs w:val="18"/>
              </w:rPr>
            </w:pPr>
            <w:proofErr w:type="spellStart"/>
            <w:r>
              <w:rPr>
                <w:b/>
                <w:color w:val="000000"/>
                <w:sz w:val="18"/>
                <w:szCs w:val="18"/>
              </w:rPr>
              <w:t>T</w:t>
            </w:r>
            <w:r>
              <w:rPr>
                <w:b/>
                <w:color w:val="000000"/>
                <w:sz w:val="18"/>
                <w:szCs w:val="18"/>
                <w:vertAlign w:val="subscript"/>
              </w:rPr>
              <w:t>rise</w:t>
            </w:r>
            <w:proofErr w:type="spellEnd"/>
            <w:r>
              <w:rPr>
                <w:b/>
                <w:color w:val="000000"/>
                <w:sz w:val="18"/>
                <w:szCs w:val="18"/>
              </w:rPr>
              <w:t xml:space="preserve"> [°C]</w:t>
            </w:r>
          </w:p>
        </w:tc>
        <w:tc>
          <w:tcPr>
            <w:tcW w:w="1530" w:type="dxa"/>
            <w:vAlign w:val="center"/>
          </w:tcPr>
          <w:p w14:paraId="233A0913" w14:textId="42F61DBB" w:rsidR="00EF41AA" w:rsidRDefault="00EF41AA" w:rsidP="002D1335">
            <w:pPr>
              <w:pBdr>
                <w:top w:val="nil"/>
                <w:left w:val="nil"/>
                <w:bottom w:val="nil"/>
                <w:right w:val="nil"/>
                <w:between w:val="nil"/>
              </w:pBdr>
              <w:spacing w:after="0" w:line="220" w:lineRule="auto"/>
              <w:jc w:val="center"/>
              <w:rPr>
                <w:b/>
                <w:smallCaps/>
                <w:color w:val="000000"/>
                <w:sz w:val="18"/>
                <w:szCs w:val="18"/>
              </w:rPr>
            </w:pPr>
            <w:proofErr w:type="spellStart"/>
            <w:r>
              <w:rPr>
                <w:b/>
                <w:color w:val="000000"/>
                <w:sz w:val="18"/>
                <w:szCs w:val="18"/>
              </w:rPr>
              <w:t>T</w:t>
            </w:r>
            <w:r>
              <w:rPr>
                <w:b/>
                <w:color w:val="000000"/>
                <w:sz w:val="18"/>
                <w:szCs w:val="18"/>
                <w:vertAlign w:val="subscript"/>
              </w:rPr>
              <w:t>z,ss</w:t>
            </w:r>
            <w:r>
              <w:rPr>
                <w:b/>
                <w:color w:val="000000"/>
                <w:sz w:val="18"/>
                <w:szCs w:val="18"/>
              </w:rPr>
              <w:t>-T</w:t>
            </w:r>
            <w:r>
              <w:rPr>
                <w:b/>
                <w:color w:val="000000"/>
                <w:sz w:val="18"/>
                <w:szCs w:val="18"/>
                <w:vertAlign w:val="subscript"/>
              </w:rPr>
              <w:t>z,ss,baseline</w:t>
            </w:r>
            <w:proofErr w:type="spellEnd"/>
            <w:r>
              <w:rPr>
                <w:b/>
                <w:color w:val="000000"/>
                <w:sz w:val="18"/>
                <w:szCs w:val="18"/>
              </w:rPr>
              <w:t xml:space="preserve"> [°C]</w:t>
            </w:r>
          </w:p>
        </w:tc>
      </w:tr>
      <w:tr w:rsidR="00EF41AA" w14:paraId="224793E0" w14:textId="77777777" w:rsidTr="00222EBE">
        <w:trPr>
          <w:jc w:val="center"/>
        </w:trPr>
        <w:tc>
          <w:tcPr>
            <w:tcW w:w="1435" w:type="dxa"/>
            <w:vAlign w:val="center"/>
          </w:tcPr>
          <w:p w14:paraId="79D8A437" w14:textId="77777777" w:rsidR="00EF41AA" w:rsidRDefault="00EF41AA" w:rsidP="002D1335">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=0</w:t>
            </w:r>
          </w:p>
          <w:p w14:paraId="0720B8DC" w14:textId="5B16D853"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(baseline)</w:t>
            </w:r>
          </w:p>
        </w:tc>
        <w:tc>
          <w:tcPr>
            <w:tcW w:w="990" w:type="dxa"/>
            <w:vAlign w:val="center"/>
          </w:tcPr>
          <w:p w14:paraId="2D48F577" w14:textId="1546CA86" w:rsidR="00EF41AA" w:rsidRDefault="00EF41AA" w:rsidP="00EF41AA">
            <w:pPr>
              <w:pBdr>
                <w:top w:val="nil"/>
                <w:left w:val="nil"/>
                <w:bottom w:val="nil"/>
                <w:right w:val="nil"/>
                <w:between w:val="nil"/>
              </w:pBdr>
              <w:spacing w:after="0" w:line="220" w:lineRule="auto"/>
              <w:jc w:val="center"/>
              <w:rPr>
                <w:color w:val="000000"/>
                <w:sz w:val="18"/>
                <w:szCs w:val="18"/>
              </w:rPr>
            </w:pPr>
            <w:r>
              <w:rPr>
                <w:color w:val="000000"/>
                <w:sz w:val="18"/>
                <w:szCs w:val="18"/>
              </w:rPr>
              <w:t>0</w:t>
            </w:r>
          </w:p>
        </w:tc>
        <w:tc>
          <w:tcPr>
            <w:tcW w:w="810" w:type="dxa"/>
            <w:vAlign w:val="center"/>
          </w:tcPr>
          <w:p w14:paraId="0D609289" w14:textId="3A1E08EB"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1.05</w:t>
            </w:r>
          </w:p>
        </w:tc>
        <w:tc>
          <w:tcPr>
            <w:tcW w:w="1530" w:type="dxa"/>
            <w:vAlign w:val="center"/>
          </w:tcPr>
          <w:p w14:paraId="4CE2579A" w14:textId="199AB5AD"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0</w:t>
            </w:r>
          </w:p>
        </w:tc>
      </w:tr>
      <w:tr w:rsidR="00EF41AA" w14:paraId="7EC5E150" w14:textId="77777777" w:rsidTr="00222EBE">
        <w:trPr>
          <w:jc w:val="center"/>
        </w:trPr>
        <w:tc>
          <w:tcPr>
            <w:tcW w:w="1435" w:type="dxa"/>
            <w:vAlign w:val="center"/>
          </w:tcPr>
          <w:p w14:paraId="2F00C58D" w14:textId="77777777" w:rsidR="00EF41AA" w:rsidRDefault="00EF41AA" w:rsidP="002D1335">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p>
          <w:p w14:paraId="4BA78F82" w14:textId="77777777"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=1xFlrArea</w:t>
            </w:r>
          </w:p>
        </w:tc>
        <w:tc>
          <w:tcPr>
            <w:tcW w:w="990" w:type="dxa"/>
            <w:vAlign w:val="center"/>
          </w:tcPr>
          <w:p w14:paraId="37A667BD" w14:textId="5E65DCE3" w:rsidR="00EF41AA" w:rsidRDefault="00EF41AA" w:rsidP="00EF41AA">
            <w:pPr>
              <w:pBdr>
                <w:top w:val="nil"/>
                <w:left w:val="nil"/>
                <w:bottom w:val="nil"/>
                <w:right w:val="nil"/>
                <w:between w:val="nil"/>
              </w:pBdr>
              <w:spacing w:after="0" w:line="220" w:lineRule="auto"/>
              <w:jc w:val="center"/>
              <w:rPr>
                <w:color w:val="000000"/>
                <w:sz w:val="18"/>
                <w:szCs w:val="18"/>
              </w:rPr>
            </w:pPr>
            <w:r>
              <w:rPr>
                <w:color w:val="000000"/>
                <w:sz w:val="18"/>
                <w:szCs w:val="18"/>
              </w:rPr>
              <w:t>81</w:t>
            </w:r>
          </w:p>
        </w:tc>
        <w:tc>
          <w:tcPr>
            <w:tcW w:w="810" w:type="dxa"/>
            <w:vAlign w:val="center"/>
          </w:tcPr>
          <w:p w14:paraId="76394D88" w14:textId="62FDA4C1"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1.02</w:t>
            </w:r>
          </w:p>
        </w:tc>
        <w:tc>
          <w:tcPr>
            <w:tcW w:w="1530" w:type="dxa"/>
            <w:vAlign w:val="center"/>
          </w:tcPr>
          <w:p w14:paraId="0F605C69" w14:textId="77777777"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-0.39</w:t>
            </w:r>
          </w:p>
        </w:tc>
      </w:tr>
      <w:tr w:rsidR="00EF41AA" w14:paraId="31D78880" w14:textId="77777777" w:rsidTr="00222EBE">
        <w:trPr>
          <w:jc w:val="center"/>
        </w:trPr>
        <w:tc>
          <w:tcPr>
            <w:tcW w:w="1435" w:type="dxa"/>
            <w:vAlign w:val="center"/>
          </w:tcPr>
          <w:p w14:paraId="0861AA9C" w14:textId="77777777" w:rsidR="00EF41AA" w:rsidRDefault="00EF41AA" w:rsidP="002D1335">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p>
          <w:p w14:paraId="25DACF8E" w14:textId="77777777"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=2xFlrArea</w:t>
            </w:r>
          </w:p>
        </w:tc>
        <w:tc>
          <w:tcPr>
            <w:tcW w:w="990" w:type="dxa"/>
            <w:vAlign w:val="center"/>
          </w:tcPr>
          <w:p w14:paraId="7B826D55" w14:textId="39E2A3D2" w:rsidR="00EF41AA" w:rsidRDefault="00EF41AA" w:rsidP="00EF41AA">
            <w:pPr>
              <w:pBdr>
                <w:top w:val="nil"/>
                <w:left w:val="nil"/>
                <w:bottom w:val="nil"/>
                <w:right w:val="nil"/>
                <w:between w:val="nil"/>
              </w:pBdr>
              <w:spacing w:after="0" w:line="220" w:lineRule="auto"/>
              <w:jc w:val="center"/>
              <w:rPr>
                <w:color w:val="000000"/>
                <w:sz w:val="18"/>
                <w:szCs w:val="18"/>
              </w:rPr>
            </w:pPr>
            <w:r>
              <w:rPr>
                <w:color w:val="000000"/>
                <w:sz w:val="18"/>
                <w:szCs w:val="18"/>
              </w:rPr>
              <w:t>162</w:t>
            </w:r>
          </w:p>
        </w:tc>
        <w:tc>
          <w:tcPr>
            <w:tcW w:w="810" w:type="dxa"/>
            <w:vAlign w:val="center"/>
          </w:tcPr>
          <w:p w14:paraId="56594CDB" w14:textId="05E69F85"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0.98</w:t>
            </w:r>
          </w:p>
        </w:tc>
        <w:tc>
          <w:tcPr>
            <w:tcW w:w="1530" w:type="dxa"/>
            <w:vAlign w:val="center"/>
          </w:tcPr>
          <w:p w14:paraId="3AE65855" w14:textId="77777777"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-0.67</w:t>
            </w:r>
          </w:p>
        </w:tc>
      </w:tr>
      <w:tr w:rsidR="00EF41AA" w14:paraId="0EA563FD" w14:textId="77777777" w:rsidTr="00222EBE">
        <w:trPr>
          <w:jc w:val="center"/>
        </w:trPr>
        <w:tc>
          <w:tcPr>
            <w:tcW w:w="1435" w:type="dxa"/>
            <w:vAlign w:val="center"/>
          </w:tcPr>
          <w:p w14:paraId="349C6540" w14:textId="77777777" w:rsidR="00EF41AA" w:rsidRDefault="00EF41AA" w:rsidP="002D1335">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p>
          <w:p w14:paraId="6EE51E6A" w14:textId="77777777"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=4xFlrArea</w:t>
            </w:r>
          </w:p>
        </w:tc>
        <w:tc>
          <w:tcPr>
            <w:tcW w:w="990" w:type="dxa"/>
            <w:vAlign w:val="center"/>
          </w:tcPr>
          <w:p w14:paraId="596FB6CB" w14:textId="286AC88E" w:rsidR="00EF41AA" w:rsidRDefault="00EF41AA" w:rsidP="00EF41AA">
            <w:pPr>
              <w:pBdr>
                <w:top w:val="nil"/>
                <w:left w:val="nil"/>
                <w:bottom w:val="nil"/>
                <w:right w:val="nil"/>
                <w:between w:val="nil"/>
              </w:pBdr>
              <w:spacing w:after="0" w:line="220" w:lineRule="auto"/>
              <w:jc w:val="center"/>
              <w:rPr>
                <w:color w:val="000000"/>
                <w:sz w:val="18"/>
                <w:szCs w:val="18"/>
              </w:rPr>
            </w:pPr>
            <w:r>
              <w:rPr>
                <w:color w:val="000000"/>
                <w:sz w:val="18"/>
                <w:szCs w:val="18"/>
              </w:rPr>
              <w:t>324</w:t>
            </w:r>
          </w:p>
        </w:tc>
        <w:tc>
          <w:tcPr>
            <w:tcW w:w="810" w:type="dxa"/>
            <w:vAlign w:val="center"/>
          </w:tcPr>
          <w:p w14:paraId="66CCC45D" w14:textId="55A942AC"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0.92</w:t>
            </w:r>
          </w:p>
        </w:tc>
        <w:tc>
          <w:tcPr>
            <w:tcW w:w="1530" w:type="dxa"/>
            <w:vAlign w:val="center"/>
          </w:tcPr>
          <w:p w14:paraId="5896075D" w14:textId="77777777" w:rsidR="00EF41AA" w:rsidRDefault="00EF41AA" w:rsidP="002D1335">
            <w:pPr>
              <w:pBdr>
                <w:top w:val="nil"/>
                <w:left w:val="nil"/>
                <w:bottom w:val="nil"/>
                <w:right w:val="nil"/>
                <w:between w:val="nil"/>
              </w:pBdr>
              <w:spacing w:after="0" w:line="220" w:lineRule="auto"/>
              <w:jc w:val="center"/>
              <w:rPr>
                <w:color w:val="000000"/>
                <w:sz w:val="18"/>
                <w:szCs w:val="18"/>
              </w:rPr>
            </w:pPr>
            <w:r>
              <w:rPr>
                <w:color w:val="000000"/>
                <w:sz w:val="18"/>
                <w:szCs w:val="18"/>
              </w:rPr>
              <w:t>-1.06</w:t>
            </w:r>
          </w:p>
        </w:tc>
      </w:tr>
    </w:tbl>
    <w:p w14:paraId="71C8F052" w14:textId="77777777" w:rsidR="00316622" w:rsidRDefault="00316622" w:rsidP="00A8720B">
      <w:pPr>
        <w:pStyle w:val="Heading2"/>
        <w:spacing w:before="60"/>
      </w:pPr>
      <w:r>
        <w:t>Impact of the temperature capacity multiplier</w:t>
      </w:r>
    </w:p>
    <w:p w14:paraId="44B87978" w14:textId="7D5A700D" w:rsidR="00316622" w:rsidRDefault="00316622" w:rsidP="00316622">
      <w:pPr>
        <w:pBdr>
          <w:top w:val="nil"/>
          <w:left w:val="nil"/>
          <w:bottom w:val="nil"/>
          <w:right w:val="nil"/>
          <w:between w:val="nil"/>
        </w:pBdr>
        <w:spacing w:before="60"/>
        <w:rPr>
          <w:color w:val="000000"/>
        </w:rPr>
      </w:pPr>
      <w:r>
        <w:rPr>
          <w:color w:val="000000"/>
        </w:rPr>
        <w:t xml:space="preserve">In this subsection, four different temperature </w:t>
      </w:r>
      <w:r w:rsidR="00991C08">
        <w:rPr>
          <w:color w:val="000000"/>
        </w:rPr>
        <w:t xml:space="preserve">capacitance </w:t>
      </w:r>
      <w:r>
        <w:rPr>
          <w:color w:val="000000"/>
        </w:rPr>
        <w:t xml:space="preserve">multipliers are compared, </w:t>
      </w:r>
      <w:r w:rsidR="00255D74">
        <w:rPr>
          <w:color w:val="000000"/>
        </w:rPr>
        <w:t>i.e.,</w:t>
      </w:r>
      <w:r>
        <w:rPr>
          <w:color w:val="000000"/>
        </w:rPr>
        <w:t xml:space="preserve"> C</w:t>
      </w:r>
      <w:r>
        <w:rPr>
          <w:color w:val="000000"/>
          <w:vertAlign w:val="subscript"/>
        </w:rPr>
        <w:t>T</w:t>
      </w:r>
      <w:r>
        <w:rPr>
          <w:color w:val="000000"/>
        </w:rPr>
        <w:t xml:space="preserve"> equal to 1</w:t>
      </w:r>
      <w:r w:rsidR="00EF41AA">
        <w:rPr>
          <w:color w:val="000000"/>
        </w:rPr>
        <w:t xml:space="preserve"> (baseline)</w:t>
      </w:r>
      <w:r>
        <w:rPr>
          <w:color w:val="000000"/>
        </w:rPr>
        <w:t>,</w:t>
      </w:r>
      <w:r w:rsidR="00DE3B15">
        <w:rPr>
          <w:color w:val="000000"/>
        </w:rPr>
        <w:t xml:space="preserve"> </w:t>
      </w:r>
      <w:r>
        <w:rPr>
          <w:color w:val="000000"/>
        </w:rPr>
        <w:t xml:space="preserve">2, 4, and 8. No InternalMass object is specified in these cases. </w:t>
      </w:r>
      <w:r w:rsidR="00435C71">
        <w:rPr>
          <w:color w:val="000000"/>
        </w:rPr>
        <w:fldChar w:fldCharType="begin"/>
      </w:r>
      <w:r w:rsidR="00435C71">
        <w:rPr>
          <w:color w:val="000000"/>
        </w:rPr>
        <w:instrText xml:space="preserve"> REF _Ref93672182 \h </w:instrText>
      </w:r>
      <w:r w:rsidR="00435C71">
        <w:rPr>
          <w:color w:val="000000"/>
        </w:rPr>
      </w:r>
      <w:r w:rsidR="00435C71">
        <w:rPr>
          <w:color w:val="000000"/>
        </w:rPr>
        <w:fldChar w:fldCharType="separate"/>
      </w:r>
      <w:r w:rsidR="00D5179F">
        <w:t xml:space="preserve">Figure </w:t>
      </w:r>
      <w:r w:rsidR="00D5179F">
        <w:rPr>
          <w:noProof/>
        </w:rPr>
        <w:t>3</w:t>
      </w:r>
      <w:r w:rsidR="00435C71">
        <w:rPr>
          <w:color w:val="000000"/>
        </w:rPr>
        <w:fldChar w:fldCharType="end"/>
      </w:r>
      <w:r w:rsidRPr="008C20B7">
        <w:rPr>
          <w:color w:val="000000"/>
        </w:rPr>
        <w:t xml:space="preserve"> shows the dynamic profile of the room temperature </w:t>
      </w:r>
      <w:r w:rsidR="00255D74">
        <w:rPr>
          <w:color w:val="000000"/>
        </w:rPr>
        <w:t>under</w:t>
      </w:r>
      <w:r w:rsidRPr="008C20B7">
        <w:rPr>
          <w:color w:val="000000"/>
        </w:rPr>
        <w:t xml:space="preserve"> four different temperature </w:t>
      </w:r>
      <w:r w:rsidR="00991C08">
        <w:rPr>
          <w:color w:val="000000"/>
        </w:rPr>
        <w:t>capacitance</w:t>
      </w:r>
      <w:r w:rsidR="00991C08" w:rsidRPr="008C20B7">
        <w:rPr>
          <w:color w:val="000000"/>
        </w:rPr>
        <w:t xml:space="preserve"> </w:t>
      </w:r>
      <w:r w:rsidRPr="008C20B7">
        <w:rPr>
          <w:color w:val="000000"/>
        </w:rPr>
        <w:t>multipliers</w:t>
      </w:r>
      <w:r>
        <w:rPr>
          <w:color w:val="000000"/>
        </w:rPr>
        <w:t>. The zone air capacitance plays a significant role in the initial transient period, while in the long run, temperature</w:t>
      </w:r>
      <w:r w:rsidR="00DF78A5">
        <w:rPr>
          <w:color w:val="000000"/>
        </w:rPr>
        <w:t>s</w:t>
      </w:r>
      <w:r>
        <w:rPr>
          <w:color w:val="000000"/>
        </w:rPr>
        <w:t xml:space="preserve"> with different multipliers converge to a similar state. </w:t>
      </w:r>
    </w:p>
    <w:p w14:paraId="7418B7D9" w14:textId="07FA085F" w:rsidR="00316622" w:rsidRDefault="00BE35D6" w:rsidP="004B3F61">
      <w:pPr>
        <w:pBdr>
          <w:top w:val="nil"/>
          <w:left w:val="nil"/>
          <w:bottom w:val="nil"/>
          <w:right w:val="nil"/>
          <w:between w:val="nil"/>
        </w:pBdr>
        <w:spacing w:before="60"/>
        <w:jc w:val="center"/>
        <w:rPr>
          <w:color w:val="000000"/>
        </w:rPr>
      </w:pPr>
      <w:r w:rsidRPr="00BE35D6">
        <w:rPr>
          <w:noProof/>
          <w:color w:val="000000"/>
        </w:rPr>
        <w:lastRenderedPageBreak/>
        <w:drawing>
          <wp:inline distT="0" distB="0" distL="0" distR="0" wp14:anchorId="27563E13" wp14:editId="6341FADC">
            <wp:extent cx="2935224" cy="161101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5224" cy="1611010"/>
                    </a:xfrm>
                    <a:prstGeom prst="rect">
                      <a:avLst/>
                    </a:prstGeom>
                    <a:noFill/>
                    <a:ln>
                      <a:noFill/>
                    </a:ln>
                  </pic:spPr>
                </pic:pic>
              </a:graphicData>
            </a:graphic>
          </wp:inline>
        </w:drawing>
      </w:r>
    </w:p>
    <w:p w14:paraId="7351F611" w14:textId="6CA4E3AC" w:rsidR="00316622" w:rsidRDefault="00316622" w:rsidP="00316622">
      <w:pPr>
        <w:pStyle w:val="Caption"/>
        <w:rPr>
          <w:color w:val="000000"/>
        </w:rPr>
      </w:pPr>
      <w:bookmarkStart w:id="6" w:name="_Ref93672182"/>
      <w:r>
        <w:t xml:space="preserve">Figure </w:t>
      </w:r>
      <w:r w:rsidR="00190A02">
        <w:fldChar w:fldCharType="begin"/>
      </w:r>
      <w:r w:rsidR="00190A02">
        <w:instrText xml:space="preserve"> SEQ Figure \* ARABIC </w:instrText>
      </w:r>
      <w:r w:rsidR="00190A02">
        <w:fldChar w:fldCharType="separate"/>
      </w:r>
      <w:r w:rsidR="00D5179F">
        <w:rPr>
          <w:noProof/>
        </w:rPr>
        <w:t>3</w:t>
      </w:r>
      <w:r w:rsidR="00190A02">
        <w:rPr>
          <w:noProof/>
        </w:rPr>
        <w:fldChar w:fldCharType="end"/>
      </w:r>
      <w:bookmarkEnd w:id="6"/>
      <w:r>
        <w:rPr>
          <w:color w:val="000000"/>
        </w:rPr>
        <w:t xml:space="preserve">: Temperature dynamics under different temperature </w:t>
      </w:r>
      <w:r w:rsidR="008F7B9D">
        <w:rPr>
          <w:color w:val="000000"/>
        </w:rPr>
        <w:t xml:space="preserve">capacitance </w:t>
      </w:r>
      <w:r>
        <w:rPr>
          <w:color w:val="000000"/>
        </w:rPr>
        <w:t>multiplier</w:t>
      </w:r>
      <w:r w:rsidR="00DE3B15">
        <w:rPr>
          <w:color w:val="000000"/>
        </w:rPr>
        <w:t>s</w:t>
      </w:r>
      <w:r>
        <w:rPr>
          <w:color w:val="000000"/>
        </w:rPr>
        <w:t>.</w:t>
      </w:r>
    </w:p>
    <w:p w14:paraId="08AB24B9" w14:textId="791978A8" w:rsidR="00255D74" w:rsidRPr="00255D74" w:rsidRDefault="00255D74" w:rsidP="00255D74">
      <w:r>
        <w:rPr>
          <w:color w:val="000000"/>
        </w:rPr>
        <w:fldChar w:fldCharType="begin"/>
      </w:r>
      <w:r>
        <w:rPr>
          <w:color w:val="000000"/>
        </w:rPr>
        <w:instrText xml:space="preserve"> REF _Ref93672682 \h </w:instrText>
      </w:r>
      <w:r>
        <w:rPr>
          <w:color w:val="000000"/>
        </w:rPr>
      </w:r>
      <w:r>
        <w:rPr>
          <w:color w:val="000000"/>
        </w:rPr>
        <w:fldChar w:fldCharType="separate"/>
      </w:r>
      <w:r w:rsidR="00D5179F">
        <w:t xml:space="preserve">Table </w:t>
      </w:r>
      <w:r w:rsidR="00D5179F">
        <w:rPr>
          <w:noProof/>
        </w:rPr>
        <w:t>3</w:t>
      </w:r>
      <w:r>
        <w:rPr>
          <w:color w:val="000000"/>
        </w:rPr>
        <w:fldChar w:fldCharType="end"/>
      </w:r>
      <w:r>
        <w:rPr>
          <w:color w:val="000000"/>
        </w:rPr>
        <w:t xml:space="preserve"> </w:t>
      </w:r>
      <w:r w:rsidRPr="00EC67A1">
        <w:rPr>
          <w:color w:val="000000"/>
        </w:rPr>
        <w:t>conveys the same message in numerical form.</w:t>
      </w:r>
      <w:r w:rsidR="000B2477">
        <w:rPr>
          <w:color w:val="000000"/>
        </w:rPr>
        <w:t xml:space="preserve"> </w:t>
      </w:r>
      <w:r w:rsidR="000B2477" w:rsidRPr="000B2477">
        <w:rPr>
          <w:color w:val="000000"/>
        </w:rPr>
        <w:t xml:space="preserve">As the internal mass of the </w:t>
      </w:r>
      <w:r w:rsidR="000B2477">
        <w:rPr>
          <w:color w:val="000000"/>
        </w:rPr>
        <w:t>zone increase</w:t>
      </w:r>
      <w:r w:rsidR="002D4BC9">
        <w:rPr>
          <w:color w:val="000000"/>
        </w:rPr>
        <w:t>s</w:t>
      </w:r>
      <w:r w:rsidR="000B2477" w:rsidRPr="000B2477">
        <w:rPr>
          <w:color w:val="000000"/>
        </w:rPr>
        <w:t xml:space="preserve">, the damping of the </w:t>
      </w:r>
      <w:r w:rsidR="00A8720B">
        <w:rPr>
          <w:color w:val="000000"/>
        </w:rPr>
        <w:t>zone</w:t>
      </w:r>
      <w:r w:rsidR="000B2477" w:rsidRPr="000B2477">
        <w:rPr>
          <w:color w:val="000000"/>
        </w:rPr>
        <w:t xml:space="preserve"> temperature over time </w:t>
      </w:r>
      <w:r w:rsidR="000B2477">
        <w:rPr>
          <w:color w:val="000000"/>
        </w:rPr>
        <w:t>increase</w:t>
      </w:r>
      <w:r w:rsidR="00DE3B15">
        <w:rPr>
          <w:color w:val="000000"/>
        </w:rPr>
        <w:t>s</w:t>
      </w:r>
      <w:r w:rsidR="000B2477" w:rsidRPr="000B2477">
        <w:rPr>
          <w:color w:val="000000"/>
        </w:rPr>
        <w:t xml:space="preserve"> accordingly. </w:t>
      </w:r>
      <w:r w:rsidR="000B2477" w:rsidRPr="00484A65">
        <w:rPr>
          <w:color w:val="000000"/>
        </w:rPr>
        <w:t>This damping behavior has very important implications for the study of on/off control or control with frequent setpoint changes.</w:t>
      </w:r>
      <w:r w:rsidR="000B2477" w:rsidRPr="000B2477">
        <w:rPr>
          <w:color w:val="000000"/>
        </w:rPr>
        <w:t xml:space="preserve"> </w:t>
      </w:r>
      <w:r w:rsidR="00A8720B">
        <w:rPr>
          <w:color w:val="000000"/>
        </w:rPr>
        <w:t>Th</w:t>
      </w:r>
      <w:r w:rsidR="00312E6B">
        <w:rPr>
          <w:color w:val="000000"/>
        </w:rPr>
        <w:t xml:space="preserve">ese implications are presented in the numerical </w:t>
      </w:r>
      <w:r w:rsidR="000B2477" w:rsidRPr="000B2477">
        <w:rPr>
          <w:color w:val="000000"/>
        </w:rPr>
        <w:t>examples in the next section.</w:t>
      </w:r>
    </w:p>
    <w:p w14:paraId="2A59DC4B" w14:textId="697E5F80" w:rsidR="00316622" w:rsidRDefault="00255D74" w:rsidP="00255D74">
      <w:pPr>
        <w:pStyle w:val="Caption"/>
        <w:rPr>
          <w:i w:val="0"/>
          <w:color w:val="000000"/>
        </w:rPr>
      </w:pPr>
      <w:bookmarkStart w:id="7" w:name="_Ref93672682"/>
      <w:r>
        <w:t xml:space="preserve">Table </w:t>
      </w:r>
      <w:r w:rsidR="00190A02">
        <w:fldChar w:fldCharType="begin"/>
      </w:r>
      <w:r w:rsidR="00190A02">
        <w:instrText xml:space="preserve"> SEQ Table \* ARABIC </w:instrText>
      </w:r>
      <w:r w:rsidR="00190A02">
        <w:fldChar w:fldCharType="separate"/>
      </w:r>
      <w:r w:rsidR="00D5179F">
        <w:rPr>
          <w:noProof/>
        </w:rPr>
        <w:t>3</w:t>
      </w:r>
      <w:r w:rsidR="00190A02">
        <w:rPr>
          <w:noProof/>
        </w:rPr>
        <w:fldChar w:fldCharType="end"/>
      </w:r>
      <w:bookmarkEnd w:id="7"/>
      <w:r w:rsidR="00316622">
        <w:rPr>
          <w:color w:val="000000"/>
        </w:rPr>
        <w:t xml:space="preserve">: Temperature </w:t>
      </w:r>
      <w:r w:rsidR="00435C71">
        <w:rPr>
          <w:i w:val="0"/>
          <w:color w:val="000000"/>
        </w:rPr>
        <w:t>data comparison</w:t>
      </w:r>
      <w:r w:rsidR="00316622">
        <w:rPr>
          <w:color w:val="000000"/>
        </w:rPr>
        <w:t xml:space="preserve"> </w:t>
      </w:r>
      <w:r w:rsidR="00435C71">
        <w:rPr>
          <w:i w:val="0"/>
          <w:color w:val="000000"/>
        </w:rPr>
        <w:t>under</w:t>
      </w:r>
      <w:r w:rsidR="00316622">
        <w:rPr>
          <w:color w:val="000000"/>
        </w:rPr>
        <w:t xml:space="preserve"> different temperature capacity multiplier.</w:t>
      </w:r>
    </w:p>
    <w:tbl>
      <w:tblPr>
        <w:tblStyle w:val="a"/>
        <w:tblW w:w="4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8"/>
        <w:gridCol w:w="1277"/>
        <w:gridCol w:w="1739"/>
      </w:tblGrid>
      <w:tr w:rsidR="00312E6B" w14:paraId="1AD7D5B9" w14:textId="77777777" w:rsidTr="00BE35D6">
        <w:trPr>
          <w:jc w:val="center"/>
        </w:trPr>
        <w:tc>
          <w:tcPr>
            <w:tcW w:w="1508" w:type="dxa"/>
            <w:vAlign w:val="center"/>
          </w:tcPr>
          <w:p w14:paraId="5464F54C" w14:textId="5A6C4E64" w:rsidR="00312E6B" w:rsidRDefault="00312E6B" w:rsidP="00312E6B">
            <w:pPr>
              <w:pBdr>
                <w:top w:val="nil"/>
                <w:left w:val="nil"/>
                <w:bottom w:val="nil"/>
                <w:right w:val="nil"/>
                <w:between w:val="nil"/>
              </w:pBdr>
              <w:spacing w:after="0" w:line="220" w:lineRule="auto"/>
              <w:jc w:val="center"/>
              <w:rPr>
                <w:b/>
                <w:smallCaps/>
                <w:color w:val="000000"/>
                <w:sz w:val="18"/>
                <w:szCs w:val="18"/>
              </w:rPr>
            </w:pPr>
            <w:r>
              <w:rPr>
                <w:b/>
                <w:color w:val="000000"/>
                <w:sz w:val="18"/>
                <w:szCs w:val="18"/>
              </w:rPr>
              <w:t>Case</w:t>
            </w:r>
          </w:p>
        </w:tc>
        <w:tc>
          <w:tcPr>
            <w:tcW w:w="1277" w:type="dxa"/>
            <w:vAlign w:val="center"/>
          </w:tcPr>
          <w:p w14:paraId="40234C76" w14:textId="41338A03" w:rsidR="00312E6B" w:rsidRPr="007514D0" w:rsidRDefault="00312E6B" w:rsidP="00312E6B">
            <w:pPr>
              <w:pBdr>
                <w:top w:val="nil"/>
                <w:left w:val="nil"/>
                <w:bottom w:val="nil"/>
                <w:right w:val="nil"/>
                <w:between w:val="nil"/>
              </w:pBdr>
              <w:spacing w:after="0" w:line="220" w:lineRule="auto"/>
              <w:jc w:val="center"/>
              <w:rPr>
                <w:b/>
                <w:smallCaps/>
                <w:color w:val="000000"/>
                <w:sz w:val="18"/>
                <w:szCs w:val="18"/>
              </w:rPr>
            </w:pPr>
            <w:proofErr w:type="spellStart"/>
            <w:r>
              <w:rPr>
                <w:b/>
                <w:color w:val="000000"/>
                <w:sz w:val="18"/>
                <w:szCs w:val="18"/>
              </w:rPr>
              <w:t>T</w:t>
            </w:r>
            <w:r>
              <w:rPr>
                <w:b/>
                <w:color w:val="000000"/>
                <w:sz w:val="18"/>
                <w:szCs w:val="18"/>
                <w:vertAlign w:val="subscript"/>
              </w:rPr>
              <w:t>rise</w:t>
            </w:r>
            <w:proofErr w:type="spellEnd"/>
            <w:r>
              <w:rPr>
                <w:b/>
                <w:color w:val="000000"/>
                <w:sz w:val="18"/>
                <w:szCs w:val="18"/>
              </w:rPr>
              <w:t xml:space="preserve"> [°C]</w:t>
            </w:r>
          </w:p>
        </w:tc>
        <w:tc>
          <w:tcPr>
            <w:tcW w:w="1739" w:type="dxa"/>
            <w:vAlign w:val="center"/>
          </w:tcPr>
          <w:p w14:paraId="25391B44" w14:textId="1B19C3FB" w:rsidR="00312E6B" w:rsidRDefault="00312E6B" w:rsidP="00312E6B">
            <w:pPr>
              <w:pBdr>
                <w:top w:val="nil"/>
                <w:left w:val="nil"/>
                <w:bottom w:val="nil"/>
                <w:right w:val="nil"/>
                <w:between w:val="nil"/>
              </w:pBdr>
              <w:spacing w:after="0" w:line="220" w:lineRule="auto"/>
              <w:jc w:val="center"/>
              <w:rPr>
                <w:b/>
                <w:smallCaps/>
                <w:color w:val="000000"/>
                <w:sz w:val="18"/>
                <w:szCs w:val="18"/>
              </w:rPr>
            </w:pPr>
            <w:proofErr w:type="spellStart"/>
            <w:r>
              <w:rPr>
                <w:b/>
                <w:color w:val="000000"/>
                <w:sz w:val="18"/>
                <w:szCs w:val="18"/>
              </w:rPr>
              <w:t>T</w:t>
            </w:r>
            <w:r>
              <w:rPr>
                <w:b/>
                <w:color w:val="000000"/>
                <w:sz w:val="18"/>
                <w:szCs w:val="18"/>
                <w:vertAlign w:val="subscript"/>
              </w:rPr>
              <w:t>z,ss</w:t>
            </w:r>
            <w:r>
              <w:rPr>
                <w:b/>
                <w:color w:val="000000"/>
                <w:sz w:val="18"/>
                <w:szCs w:val="18"/>
              </w:rPr>
              <w:t>-T</w:t>
            </w:r>
            <w:r>
              <w:rPr>
                <w:b/>
                <w:color w:val="000000"/>
                <w:sz w:val="18"/>
                <w:szCs w:val="18"/>
                <w:vertAlign w:val="subscript"/>
              </w:rPr>
              <w:t>z,ss,baseline</w:t>
            </w:r>
            <w:proofErr w:type="spellEnd"/>
            <w:r>
              <w:rPr>
                <w:b/>
                <w:color w:val="000000"/>
                <w:sz w:val="18"/>
                <w:szCs w:val="18"/>
              </w:rPr>
              <w:t xml:space="preserve"> [°C]</w:t>
            </w:r>
          </w:p>
        </w:tc>
      </w:tr>
      <w:tr w:rsidR="00316622" w14:paraId="0FE8EE5D" w14:textId="77777777" w:rsidTr="00BE35D6">
        <w:trPr>
          <w:jc w:val="center"/>
        </w:trPr>
        <w:tc>
          <w:tcPr>
            <w:tcW w:w="1508" w:type="dxa"/>
          </w:tcPr>
          <w:p w14:paraId="652EE1C3" w14:textId="4306CC40"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C</w:t>
            </w:r>
            <w:r w:rsidRPr="00376402">
              <w:rPr>
                <w:color w:val="000000"/>
                <w:sz w:val="18"/>
                <w:szCs w:val="18"/>
                <w:vertAlign w:val="subscript"/>
              </w:rPr>
              <w:t>T</w:t>
            </w:r>
            <w:r>
              <w:rPr>
                <w:color w:val="000000"/>
                <w:sz w:val="18"/>
                <w:szCs w:val="18"/>
              </w:rPr>
              <w:t>=1 (</w:t>
            </w:r>
            <w:r w:rsidR="00551F0D">
              <w:rPr>
                <w:color w:val="000000"/>
                <w:sz w:val="18"/>
                <w:szCs w:val="18"/>
              </w:rPr>
              <w:t>b</w:t>
            </w:r>
            <w:r>
              <w:rPr>
                <w:color w:val="000000"/>
                <w:sz w:val="18"/>
                <w:szCs w:val="18"/>
              </w:rPr>
              <w:t>aseline)</w:t>
            </w:r>
          </w:p>
        </w:tc>
        <w:tc>
          <w:tcPr>
            <w:tcW w:w="1277" w:type="dxa"/>
          </w:tcPr>
          <w:p w14:paraId="5297E196"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 xml:space="preserve">1.05 </w:t>
            </w:r>
          </w:p>
        </w:tc>
        <w:tc>
          <w:tcPr>
            <w:tcW w:w="1739" w:type="dxa"/>
          </w:tcPr>
          <w:p w14:paraId="27B618FA" w14:textId="104846D8" w:rsidR="00316622" w:rsidRDefault="00B13059" w:rsidP="002D1335">
            <w:pPr>
              <w:pBdr>
                <w:top w:val="nil"/>
                <w:left w:val="nil"/>
                <w:bottom w:val="nil"/>
                <w:right w:val="nil"/>
                <w:between w:val="nil"/>
              </w:pBdr>
              <w:spacing w:after="0" w:line="220" w:lineRule="auto"/>
              <w:jc w:val="center"/>
              <w:rPr>
                <w:color w:val="000000"/>
                <w:sz w:val="18"/>
                <w:szCs w:val="18"/>
              </w:rPr>
            </w:pPr>
            <w:r>
              <w:rPr>
                <w:color w:val="000000"/>
                <w:sz w:val="18"/>
                <w:szCs w:val="18"/>
              </w:rPr>
              <w:t>0</w:t>
            </w:r>
          </w:p>
        </w:tc>
      </w:tr>
      <w:tr w:rsidR="00316622" w14:paraId="0B2ED4F9" w14:textId="77777777" w:rsidTr="00BE35D6">
        <w:trPr>
          <w:jc w:val="center"/>
        </w:trPr>
        <w:tc>
          <w:tcPr>
            <w:tcW w:w="1508" w:type="dxa"/>
          </w:tcPr>
          <w:p w14:paraId="760D1A75" w14:textId="77777777" w:rsidR="00316622" w:rsidRPr="0037640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C</w:t>
            </w:r>
            <w:r w:rsidRPr="00376402">
              <w:rPr>
                <w:color w:val="000000"/>
                <w:sz w:val="18"/>
                <w:szCs w:val="18"/>
                <w:vertAlign w:val="subscript"/>
              </w:rPr>
              <w:t>T</w:t>
            </w:r>
            <w:r>
              <w:rPr>
                <w:color w:val="000000"/>
                <w:sz w:val="18"/>
                <w:szCs w:val="18"/>
              </w:rPr>
              <w:t>=2</w:t>
            </w:r>
          </w:p>
        </w:tc>
        <w:tc>
          <w:tcPr>
            <w:tcW w:w="1277" w:type="dxa"/>
          </w:tcPr>
          <w:p w14:paraId="6FBCEEF1"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0.58</w:t>
            </w:r>
          </w:p>
        </w:tc>
        <w:tc>
          <w:tcPr>
            <w:tcW w:w="1739" w:type="dxa"/>
          </w:tcPr>
          <w:p w14:paraId="3E2777E1"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-0.03</w:t>
            </w:r>
          </w:p>
        </w:tc>
      </w:tr>
      <w:tr w:rsidR="00316622" w14:paraId="38B718DB" w14:textId="77777777" w:rsidTr="00BE35D6">
        <w:trPr>
          <w:jc w:val="center"/>
        </w:trPr>
        <w:tc>
          <w:tcPr>
            <w:tcW w:w="1508" w:type="dxa"/>
          </w:tcPr>
          <w:p w14:paraId="1EAD0CF5"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C</w:t>
            </w:r>
            <w:r w:rsidRPr="00376402">
              <w:rPr>
                <w:color w:val="000000"/>
                <w:sz w:val="18"/>
                <w:szCs w:val="18"/>
                <w:vertAlign w:val="subscript"/>
              </w:rPr>
              <w:t>T</w:t>
            </w:r>
            <w:r>
              <w:rPr>
                <w:color w:val="000000"/>
                <w:sz w:val="18"/>
                <w:szCs w:val="18"/>
              </w:rPr>
              <w:t>=4</w:t>
            </w:r>
          </w:p>
        </w:tc>
        <w:tc>
          <w:tcPr>
            <w:tcW w:w="1277" w:type="dxa"/>
          </w:tcPr>
          <w:p w14:paraId="6FD6C4D4"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0.30</w:t>
            </w:r>
          </w:p>
        </w:tc>
        <w:tc>
          <w:tcPr>
            <w:tcW w:w="1739" w:type="dxa"/>
          </w:tcPr>
          <w:p w14:paraId="1D49F134"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-0.10</w:t>
            </w:r>
          </w:p>
        </w:tc>
      </w:tr>
      <w:tr w:rsidR="00316622" w14:paraId="272ED6DC" w14:textId="77777777" w:rsidTr="00BE35D6">
        <w:trPr>
          <w:jc w:val="center"/>
        </w:trPr>
        <w:tc>
          <w:tcPr>
            <w:tcW w:w="1508" w:type="dxa"/>
          </w:tcPr>
          <w:p w14:paraId="63414F8A"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C</w:t>
            </w:r>
            <w:r w:rsidRPr="00376402">
              <w:rPr>
                <w:color w:val="000000"/>
                <w:sz w:val="18"/>
                <w:szCs w:val="18"/>
                <w:vertAlign w:val="subscript"/>
              </w:rPr>
              <w:t>T</w:t>
            </w:r>
            <w:r>
              <w:rPr>
                <w:color w:val="000000"/>
                <w:sz w:val="18"/>
                <w:szCs w:val="18"/>
              </w:rPr>
              <w:t>=8</w:t>
            </w:r>
          </w:p>
        </w:tc>
        <w:tc>
          <w:tcPr>
            <w:tcW w:w="1277" w:type="dxa"/>
          </w:tcPr>
          <w:p w14:paraId="5B9553FF"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0.15</w:t>
            </w:r>
          </w:p>
        </w:tc>
        <w:tc>
          <w:tcPr>
            <w:tcW w:w="1739" w:type="dxa"/>
          </w:tcPr>
          <w:p w14:paraId="0AC448F0" w14:textId="77777777" w:rsidR="00316622" w:rsidRDefault="00316622" w:rsidP="002D1335">
            <w:pPr>
              <w:pBdr>
                <w:top w:val="nil"/>
                <w:left w:val="nil"/>
                <w:bottom w:val="nil"/>
                <w:right w:val="nil"/>
                <w:between w:val="nil"/>
              </w:pBdr>
              <w:spacing w:after="0" w:line="220" w:lineRule="auto"/>
              <w:jc w:val="center"/>
              <w:rPr>
                <w:color w:val="000000"/>
                <w:sz w:val="18"/>
                <w:szCs w:val="18"/>
              </w:rPr>
            </w:pPr>
            <w:r>
              <w:rPr>
                <w:color w:val="000000"/>
                <w:sz w:val="18"/>
                <w:szCs w:val="18"/>
              </w:rPr>
              <w:t>-0.23</w:t>
            </w:r>
          </w:p>
        </w:tc>
      </w:tr>
    </w:tbl>
    <w:p w14:paraId="0F6E6651" w14:textId="74D9B00F" w:rsidR="000C67B8" w:rsidRDefault="00FA4285">
      <w:pPr>
        <w:pStyle w:val="Heading1"/>
      </w:pPr>
      <w:r>
        <w:t>Internal mass modeling in on</w:t>
      </w:r>
      <w:r w:rsidR="00DE3B15">
        <w:t>/</w:t>
      </w:r>
      <w:r>
        <w:t xml:space="preserve">off </w:t>
      </w:r>
      <w:r w:rsidR="000B2477">
        <w:t>control</w:t>
      </w:r>
    </w:p>
    <w:p w14:paraId="5B1ACD6B" w14:textId="01B03C92" w:rsidR="000C67B8" w:rsidRDefault="005E2ABE">
      <w:pPr>
        <w:pBdr>
          <w:top w:val="nil"/>
          <w:left w:val="nil"/>
          <w:bottom w:val="nil"/>
          <w:right w:val="nil"/>
          <w:between w:val="nil"/>
        </w:pBdr>
        <w:spacing w:before="60"/>
        <w:rPr>
          <w:color w:val="000000"/>
        </w:rPr>
      </w:pPr>
      <w:r w:rsidRPr="005E2ABE">
        <w:rPr>
          <w:color w:val="000000"/>
        </w:rPr>
        <w:t xml:space="preserve">From the above parametric analysis, </w:t>
      </w:r>
      <w:r w:rsidR="00DE3B15">
        <w:rPr>
          <w:color w:val="000000"/>
          <w:lang w:eastAsia="zh-CN"/>
        </w:rPr>
        <w:t>we see</w:t>
      </w:r>
      <w:r>
        <w:rPr>
          <w:color w:val="000000"/>
          <w:lang w:eastAsia="zh-CN"/>
        </w:rPr>
        <w:t xml:space="preserve"> </w:t>
      </w:r>
      <w:r w:rsidRPr="005E2ABE">
        <w:rPr>
          <w:color w:val="000000"/>
        </w:rPr>
        <w:t xml:space="preserve">that the two </w:t>
      </w:r>
      <w:r w:rsidR="00312E6B">
        <w:rPr>
          <w:color w:val="000000"/>
        </w:rPr>
        <w:t>approaches</w:t>
      </w:r>
      <w:r w:rsidRPr="005E2ABE">
        <w:rPr>
          <w:color w:val="000000"/>
        </w:rPr>
        <w:t xml:space="preserve"> have very different </w:t>
      </w:r>
      <w:r>
        <w:rPr>
          <w:color w:val="000000"/>
        </w:rPr>
        <w:t>impacts</w:t>
      </w:r>
      <w:r w:rsidRPr="005E2ABE">
        <w:rPr>
          <w:color w:val="000000"/>
        </w:rPr>
        <w:t xml:space="preserve"> on the simulation of temperature dynamics. This difference subsequently</w:t>
      </w:r>
      <w:r>
        <w:rPr>
          <w:color w:val="000000"/>
        </w:rPr>
        <w:t xml:space="preserve"> </w:t>
      </w:r>
      <w:r w:rsidRPr="005E2ABE">
        <w:rPr>
          <w:color w:val="000000"/>
        </w:rPr>
        <w:t>affect</w:t>
      </w:r>
      <w:r w:rsidR="00DE3B15">
        <w:rPr>
          <w:color w:val="000000"/>
        </w:rPr>
        <w:t>s</w:t>
      </w:r>
      <w:r w:rsidRPr="005E2ABE">
        <w:rPr>
          <w:color w:val="000000"/>
        </w:rPr>
        <w:t xml:space="preserve"> the load and the energy consumption calculation</w:t>
      </w:r>
      <w:r>
        <w:rPr>
          <w:color w:val="000000"/>
        </w:rPr>
        <w:t>s</w:t>
      </w:r>
      <w:r w:rsidRPr="005E2ABE">
        <w:rPr>
          <w:color w:val="000000"/>
        </w:rPr>
        <w:t xml:space="preserve"> </w:t>
      </w:r>
      <w:r w:rsidR="00DE3B15">
        <w:rPr>
          <w:color w:val="000000"/>
        </w:rPr>
        <w:t>in</w:t>
      </w:r>
      <w:r w:rsidR="00DE3B15" w:rsidRPr="005E2ABE">
        <w:rPr>
          <w:color w:val="000000"/>
        </w:rPr>
        <w:t xml:space="preserve"> </w:t>
      </w:r>
      <w:r w:rsidRPr="005E2ABE">
        <w:rPr>
          <w:color w:val="000000"/>
        </w:rPr>
        <w:t>EnergyPlus.</w:t>
      </w:r>
      <w:r>
        <w:rPr>
          <w:color w:val="000000"/>
        </w:rPr>
        <w:t xml:space="preserve"> </w:t>
      </w:r>
      <w:r w:rsidR="00312E6B">
        <w:rPr>
          <w:color w:val="000000"/>
        </w:rPr>
        <w:t>In</w:t>
      </w:r>
      <w:r>
        <w:rPr>
          <w:color w:val="000000"/>
        </w:rPr>
        <w:t xml:space="preserve"> this section, </w:t>
      </w:r>
      <w:r w:rsidR="00742F0F">
        <w:rPr>
          <w:color w:val="000000"/>
        </w:rPr>
        <w:t xml:space="preserve">the impacts of the two approaches are further compared in the simulation of a typical commercial building. </w:t>
      </w:r>
    </w:p>
    <w:p w14:paraId="5CC24F39" w14:textId="0A9205B5" w:rsidR="00CF5A7C" w:rsidRDefault="00742F0F" w:rsidP="00CF5A7C">
      <w:pPr>
        <w:pBdr>
          <w:top w:val="nil"/>
          <w:left w:val="nil"/>
          <w:bottom w:val="nil"/>
          <w:right w:val="nil"/>
          <w:between w:val="nil"/>
        </w:pBdr>
        <w:spacing w:before="60"/>
        <w:rPr>
          <w:color w:val="000000"/>
        </w:rPr>
      </w:pPr>
      <w:r>
        <w:rPr>
          <w:color w:val="000000"/>
          <w:lang w:eastAsia="zh-CN"/>
        </w:rPr>
        <w:t xml:space="preserve">The same small office model presented in Figure 1 is used for the comparison. </w:t>
      </w:r>
      <w:r w:rsidR="00DE3B15">
        <w:rPr>
          <w:color w:val="000000"/>
          <w:lang w:eastAsia="zh-CN"/>
        </w:rPr>
        <w:t>M</w:t>
      </w:r>
      <w:r w:rsidR="009945AC">
        <w:rPr>
          <w:color w:val="000000"/>
          <w:lang w:eastAsia="zh-CN"/>
        </w:rPr>
        <w:t>ost of the default settings in the prototype building model</w:t>
      </w:r>
      <w:r w:rsidR="00312E6B">
        <w:rPr>
          <w:color w:val="000000"/>
          <w:lang w:eastAsia="zh-CN"/>
        </w:rPr>
        <w:t xml:space="preserve"> </w:t>
      </w:r>
      <w:r w:rsidR="00312E6B">
        <w:rPr>
          <w:color w:val="000000"/>
          <w:lang w:eastAsia="zh-CN"/>
        </w:rPr>
        <w:fldChar w:fldCharType="begin"/>
      </w:r>
      <w:r w:rsidR="00312E6B">
        <w:rPr>
          <w:color w:val="000000"/>
          <w:lang w:eastAsia="zh-CN"/>
        </w:rPr>
        <w:instrText xml:space="preserve"> ADDIN EN.CITE &lt;EndNote&gt;&lt;Cite&gt;&lt;Author&gt;U.S. Department of Energy&lt;/Author&gt;&lt;Year&gt;n.d.&lt;/Year&gt;&lt;RecNum&gt;2&lt;/RecNum&gt;&lt;DisplayText&gt;(U.S. Department of Energy, n.d.)&lt;/DisplayText&gt;&lt;record&gt;&lt;rec-number&gt;2&lt;/rec-number&gt;&lt;foreign-keys&gt;&lt;key app="EN" db-id="e2epp5xvs9p5skexse7xssf5tpsprs5zep5d" timestamp="1611608563"&gt;2&lt;/key&gt;&lt;/foreign-keys&gt;&lt;ref-type name="Web Page"&gt;12&lt;/ref-type&gt;&lt;contributors&gt;&lt;authors&gt;&lt;author&gt;U.S. Department of Energy,&lt;/author&gt;&lt;/authors&gt;&lt;/contributors&gt;&lt;titles&gt;&lt;title&gt;Commercial Prototype Building Models&lt;/title&gt;&lt;/titles&gt;&lt;dates&gt;&lt;year&gt;n.d.&lt;/year&gt;&lt;/dates&gt;&lt;urls&gt;&lt;related-urls&gt;&lt;url&gt;https://www.energycodes.gov/development/commercial/prototype_models&lt;/url&gt;&lt;/related-urls&gt;&lt;/urls&gt;&lt;/record&gt;&lt;/Cite&gt;&lt;/EndNote&gt;</w:instrText>
      </w:r>
      <w:r w:rsidR="00312E6B">
        <w:rPr>
          <w:color w:val="000000"/>
          <w:lang w:eastAsia="zh-CN"/>
        </w:rPr>
        <w:fldChar w:fldCharType="separate"/>
      </w:r>
      <w:r w:rsidR="00312E6B">
        <w:rPr>
          <w:noProof/>
          <w:color w:val="000000"/>
          <w:lang w:eastAsia="zh-CN"/>
        </w:rPr>
        <w:t>(U.S. Department of Energy, n.d.)</w:t>
      </w:r>
      <w:r w:rsidR="00312E6B">
        <w:rPr>
          <w:color w:val="000000"/>
          <w:lang w:eastAsia="zh-CN"/>
        </w:rPr>
        <w:fldChar w:fldCharType="end"/>
      </w:r>
      <w:r w:rsidR="009945AC">
        <w:rPr>
          <w:color w:val="000000"/>
          <w:lang w:eastAsia="zh-CN"/>
        </w:rPr>
        <w:t xml:space="preserve"> </w:t>
      </w:r>
      <w:r w:rsidR="00DE3B15">
        <w:rPr>
          <w:color w:val="000000"/>
          <w:lang w:eastAsia="zh-CN"/>
        </w:rPr>
        <w:t xml:space="preserve">remain the same as </w:t>
      </w:r>
      <w:r w:rsidR="009945AC">
        <w:rPr>
          <w:color w:val="000000"/>
          <w:lang w:eastAsia="zh-CN"/>
        </w:rPr>
        <w:t>in this numerical experiment</w:t>
      </w:r>
      <w:r w:rsidR="00DE3B15">
        <w:rPr>
          <w:color w:val="000000"/>
          <w:lang w:eastAsia="zh-CN"/>
        </w:rPr>
        <w:t xml:space="preserve"> and</w:t>
      </w:r>
      <w:r w:rsidR="009945AC">
        <w:rPr>
          <w:color w:val="000000"/>
          <w:lang w:eastAsia="zh-CN"/>
        </w:rPr>
        <w:t xml:space="preserve"> are not listed in detail. </w:t>
      </w:r>
      <w:r w:rsidR="007D3963">
        <w:rPr>
          <w:color w:val="000000"/>
        </w:rPr>
        <w:t>Settings that are specifically designed for this experiment are</w:t>
      </w:r>
      <w:r w:rsidR="00CF5A7C">
        <w:rPr>
          <w:color w:val="000000"/>
        </w:rPr>
        <w:t>:</w:t>
      </w:r>
    </w:p>
    <w:p w14:paraId="2566276F" w14:textId="64BDAEF1" w:rsidR="00CF5A7C" w:rsidRPr="009C6ACA" w:rsidRDefault="00CF5A7C" w:rsidP="00CF5A7C">
      <w:pPr>
        <w:numPr>
          <w:ilvl w:val="0"/>
          <w:numId w:val="2"/>
        </w:numPr>
        <w:pBdr>
          <w:top w:val="nil"/>
          <w:left w:val="nil"/>
          <w:bottom w:val="nil"/>
          <w:right w:val="nil"/>
          <w:between w:val="nil"/>
        </w:pBdr>
        <w:tabs>
          <w:tab w:val="left" w:pos="340"/>
        </w:tabs>
        <w:spacing w:after="0"/>
      </w:pPr>
      <w:r>
        <w:t>The simulation period is 1-</w:t>
      </w:r>
      <w:proofErr w:type="gramStart"/>
      <w:r>
        <w:t>day</w:t>
      </w:r>
      <w:proofErr w:type="gramEnd"/>
      <w:r>
        <w:t xml:space="preserve"> and the simulation time step is 1-min</w:t>
      </w:r>
      <w:r w:rsidR="00FD2C1A">
        <w:t>ute</w:t>
      </w:r>
      <w:r>
        <w:t>.</w:t>
      </w:r>
    </w:p>
    <w:p w14:paraId="5B038C1D" w14:textId="361A1DBD" w:rsidR="00CF5A7C" w:rsidRPr="009C6ACA" w:rsidRDefault="00CF5A7C" w:rsidP="00CF5A7C">
      <w:pPr>
        <w:numPr>
          <w:ilvl w:val="0"/>
          <w:numId w:val="2"/>
        </w:numPr>
        <w:pBdr>
          <w:top w:val="nil"/>
          <w:left w:val="nil"/>
          <w:bottom w:val="nil"/>
          <w:right w:val="nil"/>
          <w:between w:val="nil"/>
        </w:pBdr>
        <w:tabs>
          <w:tab w:val="left" w:pos="340"/>
        </w:tabs>
        <w:spacing w:after="0"/>
      </w:pPr>
      <w:r>
        <w:rPr>
          <w:color w:val="000000"/>
        </w:rPr>
        <w:t>All perimeter zones are served by ideal load systems.</w:t>
      </w:r>
    </w:p>
    <w:p w14:paraId="3223169E" w14:textId="059034C4" w:rsidR="00CF5A7C" w:rsidRPr="009C6ACA" w:rsidRDefault="00CF5A7C" w:rsidP="00CF5A7C">
      <w:pPr>
        <w:numPr>
          <w:ilvl w:val="0"/>
          <w:numId w:val="2"/>
        </w:numPr>
        <w:pBdr>
          <w:top w:val="nil"/>
          <w:left w:val="nil"/>
          <w:bottom w:val="nil"/>
          <w:right w:val="nil"/>
          <w:between w:val="nil"/>
        </w:pBdr>
        <w:tabs>
          <w:tab w:val="left" w:pos="340"/>
        </w:tabs>
        <w:spacing w:after="0"/>
      </w:pPr>
      <w:proofErr w:type="spellStart"/>
      <w:r>
        <w:rPr>
          <w:color w:val="000000"/>
        </w:rPr>
        <w:t>Core_ZN</w:t>
      </w:r>
      <w:proofErr w:type="spellEnd"/>
      <w:r>
        <w:rPr>
          <w:color w:val="000000"/>
        </w:rPr>
        <w:t xml:space="preserve"> is served by a default direct expansion heat pump system developed using the HVAC template</w:t>
      </w:r>
      <w:r w:rsidR="00312E6B">
        <w:rPr>
          <w:color w:val="000000"/>
        </w:rPr>
        <w:t>s</w:t>
      </w:r>
      <w:r>
        <w:rPr>
          <w:color w:val="000000"/>
        </w:rPr>
        <w:t xml:space="preserve"> in EnergyPlus.</w:t>
      </w:r>
    </w:p>
    <w:p w14:paraId="07277C53" w14:textId="425F20BF" w:rsidR="00CF5A7C" w:rsidRDefault="004B3F61" w:rsidP="00CF5A7C">
      <w:pPr>
        <w:numPr>
          <w:ilvl w:val="0"/>
          <w:numId w:val="2"/>
        </w:numPr>
        <w:pBdr>
          <w:top w:val="nil"/>
          <w:left w:val="nil"/>
          <w:bottom w:val="nil"/>
          <w:right w:val="nil"/>
          <w:between w:val="nil"/>
        </w:pBdr>
        <w:tabs>
          <w:tab w:val="left" w:pos="340"/>
        </w:tabs>
        <w:spacing w:after="0"/>
      </w:pPr>
      <w:r>
        <w:t>All thermostats have</w:t>
      </w:r>
      <w:r w:rsidR="00312E6B">
        <w:t xml:space="preserve"> the same setting:</w:t>
      </w:r>
      <w:r w:rsidR="00CF5A7C">
        <w:t xml:space="preserve"> 22.22 °C (72 °F) cooling setpoint, 20 °C (68 °F) heating setpoint, </w:t>
      </w:r>
      <w:r w:rsidR="006C4444">
        <w:t xml:space="preserve">and </w:t>
      </w:r>
      <w:r w:rsidR="00CF5A7C">
        <w:t xml:space="preserve">0.56 °C (1 °F) </w:t>
      </w:r>
      <w:r w:rsidR="006C4444">
        <w:t xml:space="preserve">temperature </w:t>
      </w:r>
      <w:r w:rsidR="00DE3B15">
        <w:t xml:space="preserve">difference </w:t>
      </w:r>
      <w:r w:rsidR="006C4444">
        <w:t>between cutout and setpoint.</w:t>
      </w:r>
      <w:r w:rsidR="007D3963">
        <w:t xml:space="preserve"> With this thermostat setting in </w:t>
      </w:r>
      <w:r w:rsidR="00E50A93">
        <w:t xml:space="preserve">a </w:t>
      </w:r>
      <w:r w:rsidR="007D3963">
        <w:t>cooling scenario, the HVAC system shut</w:t>
      </w:r>
      <w:r w:rsidR="00A00F23">
        <w:t>s</w:t>
      </w:r>
      <w:r w:rsidR="007D3963">
        <w:t xml:space="preserve"> down when the temperature drops below 21.</w:t>
      </w:r>
      <w:r w:rsidR="00270E1F">
        <w:t>67 °C (71 °F) and remain</w:t>
      </w:r>
      <w:r w:rsidR="00ED1E7A">
        <w:t>s</w:t>
      </w:r>
      <w:r w:rsidR="00270E1F">
        <w:t xml:space="preserve"> </w:t>
      </w:r>
      <w:r w:rsidR="00270E1F">
        <w:t>off until the temperature rise</w:t>
      </w:r>
      <w:r w:rsidR="00ED1E7A">
        <w:t>s</w:t>
      </w:r>
      <w:r w:rsidR="00270E1F">
        <w:t xml:space="preserve"> above the cooling setpoint.</w:t>
      </w:r>
      <w:r w:rsidR="00312E6B">
        <w:t xml:space="preserve"> It reflects a typical on/off control.</w:t>
      </w:r>
    </w:p>
    <w:p w14:paraId="28413215" w14:textId="6FD18166" w:rsidR="00295CE4" w:rsidRDefault="00295CE4" w:rsidP="00295CE4">
      <w:pPr>
        <w:pBdr>
          <w:top w:val="nil"/>
          <w:left w:val="nil"/>
          <w:bottom w:val="nil"/>
          <w:right w:val="nil"/>
          <w:between w:val="nil"/>
        </w:pBdr>
        <w:tabs>
          <w:tab w:val="left" w:pos="340"/>
        </w:tabs>
        <w:spacing w:after="0"/>
      </w:pPr>
      <w:r>
        <w:t xml:space="preserve">Tests are performed </w:t>
      </w:r>
      <w:r w:rsidR="00596721">
        <w:t>o</w:t>
      </w:r>
      <w:r>
        <w:t xml:space="preserve">n </w:t>
      </w:r>
      <w:r w:rsidR="00312E6B">
        <w:t>a</w:t>
      </w:r>
      <w:r>
        <w:t xml:space="preserve"> summer day (</w:t>
      </w:r>
      <w:r w:rsidR="00DC79AF">
        <w:t>July 6</w:t>
      </w:r>
      <w:r w:rsidR="00DC79AF" w:rsidRPr="00DC79AF">
        <w:rPr>
          <w:vertAlign w:val="superscript"/>
        </w:rPr>
        <w:t>th</w:t>
      </w:r>
      <w:r>
        <w:t xml:space="preserve">) </w:t>
      </w:r>
      <w:r w:rsidR="00596721">
        <w:t>in</w:t>
      </w:r>
      <w:r>
        <w:t xml:space="preserve"> Atlanta, GA, USA</w:t>
      </w:r>
      <w:r w:rsidR="00312E6B">
        <w:t>, using TMY3 weather data.</w:t>
      </w:r>
    </w:p>
    <w:p w14:paraId="4558365E" w14:textId="1FF36FB0" w:rsidR="00742F0F" w:rsidRDefault="007D3963">
      <w:pPr>
        <w:pBdr>
          <w:top w:val="nil"/>
          <w:left w:val="nil"/>
          <w:bottom w:val="nil"/>
          <w:right w:val="nil"/>
          <w:between w:val="nil"/>
        </w:pBdr>
        <w:spacing w:before="60"/>
        <w:rPr>
          <w:color w:val="000000"/>
          <w:lang w:eastAsia="zh-CN"/>
        </w:rPr>
      </w:pPr>
      <w:r>
        <w:rPr>
          <w:color w:val="000000"/>
          <w:lang w:eastAsia="zh-CN"/>
        </w:rPr>
        <w:t>The following three cases with different internal mass modeling settings are tested:</w:t>
      </w:r>
    </w:p>
    <w:p w14:paraId="0D01D6D5" w14:textId="77777777" w:rsidR="00270E1F" w:rsidRDefault="007D3963" w:rsidP="007D3963">
      <w:pPr>
        <w:numPr>
          <w:ilvl w:val="0"/>
          <w:numId w:val="2"/>
        </w:numPr>
        <w:pBdr>
          <w:top w:val="nil"/>
          <w:left w:val="nil"/>
          <w:bottom w:val="nil"/>
          <w:right w:val="nil"/>
          <w:between w:val="nil"/>
        </w:pBdr>
        <w:tabs>
          <w:tab w:val="left" w:pos="340"/>
        </w:tabs>
        <w:spacing w:after="0"/>
      </w:pPr>
      <w:proofErr w:type="spellStart"/>
      <w:r>
        <w:t>IntMassArea</w:t>
      </w:r>
      <w:proofErr w:type="spellEnd"/>
      <w:r>
        <w:t>=0 &amp; C</w:t>
      </w:r>
      <w:r w:rsidRPr="00270E1F">
        <w:rPr>
          <w:vertAlign w:val="subscript"/>
        </w:rPr>
        <w:t>T</w:t>
      </w:r>
      <w:r>
        <w:t xml:space="preserve">=1: </w:t>
      </w:r>
    </w:p>
    <w:p w14:paraId="6F689C34" w14:textId="20403FCB" w:rsidR="007D3963" w:rsidRPr="009C6ACA" w:rsidRDefault="00270E1F" w:rsidP="00270E1F">
      <w:pPr>
        <w:pBdr>
          <w:top w:val="nil"/>
          <w:left w:val="nil"/>
          <w:bottom w:val="nil"/>
          <w:right w:val="nil"/>
          <w:between w:val="nil"/>
        </w:pBdr>
        <w:tabs>
          <w:tab w:val="left" w:pos="340"/>
        </w:tabs>
        <w:spacing w:after="0"/>
        <w:ind w:left="360"/>
      </w:pPr>
      <w:r>
        <w:t xml:space="preserve">In this case, no InternalMass object is specified for </w:t>
      </w:r>
      <w:proofErr w:type="spellStart"/>
      <w:r w:rsidR="00042233">
        <w:t>Core_ZN</w:t>
      </w:r>
      <w:proofErr w:type="spellEnd"/>
      <w:r>
        <w:t xml:space="preserve"> and the air capacitance is not changed. This </w:t>
      </w:r>
      <w:r w:rsidR="00312E6B">
        <w:t>is</w:t>
      </w:r>
      <w:r>
        <w:t xml:space="preserve"> an empty zone</w:t>
      </w:r>
      <w:r w:rsidR="00312E6B">
        <w:t xml:space="preserve"> case</w:t>
      </w:r>
      <w:r>
        <w:t>.</w:t>
      </w:r>
    </w:p>
    <w:p w14:paraId="1ACCF662" w14:textId="77777777" w:rsidR="00270E1F" w:rsidRPr="00270E1F" w:rsidRDefault="007D3963" w:rsidP="007D3963">
      <w:pPr>
        <w:numPr>
          <w:ilvl w:val="0"/>
          <w:numId w:val="2"/>
        </w:numPr>
        <w:pBdr>
          <w:top w:val="nil"/>
          <w:left w:val="nil"/>
          <w:bottom w:val="nil"/>
          <w:right w:val="nil"/>
          <w:between w:val="nil"/>
        </w:pBdr>
        <w:tabs>
          <w:tab w:val="left" w:pos="340"/>
        </w:tabs>
        <w:spacing w:after="0"/>
      </w:pPr>
      <w:proofErr w:type="spellStart"/>
      <w:r>
        <w:rPr>
          <w:color w:val="000000"/>
        </w:rPr>
        <w:t>IntMassArea</w:t>
      </w:r>
      <w:proofErr w:type="spellEnd"/>
      <w:r>
        <w:rPr>
          <w:color w:val="000000"/>
        </w:rPr>
        <w:t xml:space="preserve">=2xFlrArea &amp; </w:t>
      </w:r>
      <w:r w:rsidR="00270E1F">
        <w:t>C</w:t>
      </w:r>
      <w:r w:rsidR="00270E1F" w:rsidRPr="00270E1F">
        <w:rPr>
          <w:vertAlign w:val="subscript"/>
        </w:rPr>
        <w:t>T</w:t>
      </w:r>
      <w:r w:rsidR="00270E1F">
        <w:rPr>
          <w:color w:val="000000"/>
        </w:rPr>
        <w:t xml:space="preserve"> </w:t>
      </w:r>
      <w:r>
        <w:rPr>
          <w:color w:val="000000"/>
        </w:rPr>
        <w:t>=1</w:t>
      </w:r>
      <w:r w:rsidR="00270E1F">
        <w:rPr>
          <w:color w:val="000000"/>
        </w:rPr>
        <w:t>:</w:t>
      </w:r>
    </w:p>
    <w:p w14:paraId="1B3D5F1E" w14:textId="527E3DF1" w:rsidR="007D3963" w:rsidRPr="00376402" w:rsidRDefault="00270E1F" w:rsidP="00270E1F">
      <w:pPr>
        <w:pBdr>
          <w:top w:val="nil"/>
          <w:left w:val="nil"/>
          <w:bottom w:val="nil"/>
          <w:right w:val="nil"/>
          <w:between w:val="nil"/>
        </w:pBdr>
        <w:tabs>
          <w:tab w:val="left" w:pos="340"/>
        </w:tabs>
        <w:spacing w:after="0"/>
        <w:ind w:left="360"/>
      </w:pPr>
      <w:r>
        <w:rPr>
          <w:color w:val="000000"/>
        </w:rPr>
        <w:t xml:space="preserve">In this case, the default values for specifying an InternalMass object in the commercial prototype building model </w:t>
      </w:r>
      <w:r w:rsidR="00312E6B">
        <w:rPr>
          <w:color w:val="000000"/>
        </w:rPr>
        <w:fldChar w:fldCharType="begin"/>
      </w:r>
      <w:r w:rsidR="00312E6B">
        <w:rPr>
          <w:color w:val="000000"/>
        </w:rPr>
        <w:instrText xml:space="preserve"> ADDIN EN.CITE &lt;EndNote&gt;&lt;Cite&gt;&lt;Author&gt;U.S. Department of Energy&lt;/Author&gt;&lt;Year&gt;n.d.&lt;/Year&gt;&lt;RecNum&gt;2&lt;/RecNum&gt;&lt;DisplayText&gt;(U.S. Department of Energy, n.d.)&lt;/DisplayText&gt;&lt;record&gt;&lt;rec-number&gt;2&lt;/rec-number&gt;&lt;foreign-keys&gt;&lt;key app="EN" db-id="e2epp5xvs9p5skexse7xssf5tpsprs5zep5d" timestamp="1611608563"&gt;2&lt;/key&gt;&lt;/foreign-keys&gt;&lt;ref-type name="Web Page"&gt;12&lt;/ref-type&gt;&lt;contributors&gt;&lt;authors&gt;&lt;author&gt;U.S. Department of Energy,&lt;/author&gt;&lt;/authors&gt;&lt;/contributors&gt;&lt;titles&gt;&lt;title&gt;Commercial Prototype Building Models&lt;/title&gt;&lt;/titles&gt;&lt;dates&gt;&lt;year&gt;n.d.&lt;/year&gt;&lt;/dates&gt;&lt;urls&gt;&lt;related-urls&gt;&lt;url&gt;https://www.energycodes.gov/development/commercial/prototype_models&lt;/url&gt;&lt;/related-urls&gt;&lt;/urls&gt;&lt;/record&gt;&lt;/Cite&gt;&lt;/EndNote&gt;</w:instrText>
      </w:r>
      <w:r w:rsidR="00312E6B">
        <w:rPr>
          <w:color w:val="000000"/>
        </w:rPr>
        <w:fldChar w:fldCharType="separate"/>
      </w:r>
      <w:r w:rsidR="00312E6B">
        <w:rPr>
          <w:noProof/>
          <w:color w:val="000000"/>
        </w:rPr>
        <w:t>(U.S. Department of Energy, n.d.)</w:t>
      </w:r>
      <w:r w:rsidR="00312E6B">
        <w:rPr>
          <w:color w:val="000000"/>
        </w:rPr>
        <w:fldChar w:fldCharType="end"/>
      </w:r>
      <w:r w:rsidR="00312E6B">
        <w:rPr>
          <w:color w:val="000000"/>
        </w:rPr>
        <w:t xml:space="preserve"> </w:t>
      </w:r>
      <w:r>
        <w:rPr>
          <w:color w:val="000000"/>
        </w:rPr>
        <w:t xml:space="preserve">are adopted. </w:t>
      </w:r>
      <w:r w:rsidR="00DE3B15">
        <w:rPr>
          <w:color w:val="000000"/>
        </w:rPr>
        <w:t>The s</w:t>
      </w:r>
      <w:r>
        <w:rPr>
          <w:color w:val="000000"/>
        </w:rPr>
        <w:t xml:space="preserve">ame construction material presented in </w:t>
      </w:r>
      <w:r w:rsidR="00042233">
        <w:rPr>
          <w:color w:val="000000"/>
        </w:rPr>
        <w:fldChar w:fldCharType="begin"/>
      </w:r>
      <w:r w:rsidR="00042233">
        <w:rPr>
          <w:color w:val="000000"/>
        </w:rPr>
        <w:instrText xml:space="preserve"> REF _Ref93699169 \h </w:instrText>
      </w:r>
      <w:r w:rsidR="00042233">
        <w:rPr>
          <w:color w:val="000000"/>
        </w:rPr>
      </w:r>
      <w:r w:rsidR="00042233">
        <w:rPr>
          <w:color w:val="000000"/>
        </w:rPr>
        <w:fldChar w:fldCharType="separate"/>
      </w:r>
      <w:r w:rsidR="00D5179F">
        <w:t xml:space="preserve">Table </w:t>
      </w:r>
      <w:r w:rsidR="00D5179F">
        <w:rPr>
          <w:noProof/>
        </w:rPr>
        <w:t>2</w:t>
      </w:r>
      <w:r w:rsidR="00042233">
        <w:rPr>
          <w:color w:val="000000"/>
        </w:rPr>
        <w:fldChar w:fldCharType="end"/>
      </w:r>
      <w:r w:rsidR="00042233">
        <w:rPr>
          <w:color w:val="000000"/>
        </w:rPr>
        <w:t xml:space="preserve"> </w:t>
      </w:r>
      <w:r>
        <w:rPr>
          <w:color w:val="000000"/>
        </w:rPr>
        <w:t xml:space="preserve">is </w:t>
      </w:r>
      <w:r w:rsidR="00312E6B">
        <w:rPr>
          <w:color w:val="000000"/>
        </w:rPr>
        <w:t>used</w:t>
      </w:r>
      <w:r>
        <w:rPr>
          <w:color w:val="000000"/>
        </w:rPr>
        <w:t xml:space="preserve"> in the InternalMass object. The size of the internal mass surface area is equal to twice the floor area, which is taken as a “typical” amount of internal mass.</w:t>
      </w:r>
    </w:p>
    <w:p w14:paraId="54D53330" w14:textId="3C7C0F40" w:rsidR="007D3963" w:rsidRPr="00270E1F" w:rsidRDefault="007D3963" w:rsidP="007D3963">
      <w:pPr>
        <w:numPr>
          <w:ilvl w:val="0"/>
          <w:numId w:val="2"/>
        </w:numPr>
        <w:pBdr>
          <w:top w:val="nil"/>
          <w:left w:val="nil"/>
          <w:bottom w:val="nil"/>
          <w:right w:val="nil"/>
          <w:between w:val="nil"/>
        </w:pBdr>
        <w:tabs>
          <w:tab w:val="left" w:pos="340"/>
        </w:tabs>
        <w:spacing w:after="0"/>
      </w:pPr>
      <w:proofErr w:type="spellStart"/>
      <w:r>
        <w:rPr>
          <w:color w:val="000000"/>
        </w:rPr>
        <w:t>IntMassArea</w:t>
      </w:r>
      <w:proofErr w:type="spellEnd"/>
      <w:r>
        <w:rPr>
          <w:color w:val="000000"/>
        </w:rPr>
        <w:t xml:space="preserve">=0 &amp; </w:t>
      </w:r>
      <w:r w:rsidR="00270E1F">
        <w:t>C</w:t>
      </w:r>
      <w:r w:rsidR="00270E1F" w:rsidRPr="00270E1F">
        <w:rPr>
          <w:vertAlign w:val="subscript"/>
        </w:rPr>
        <w:t>T</w:t>
      </w:r>
      <w:r>
        <w:rPr>
          <w:color w:val="000000"/>
        </w:rPr>
        <w:t>=8</w:t>
      </w:r>
      <w:r w:rsidR="00270E1F">
        <w:rPr>
          <w:color w:val="000000"/>
        </w:rPr>
        <w:t xml:space="preserve">: </w:t>
      </w:r>
    </w:p>
    <w:p w14:paraId="0F581E7A" w14:textId="76192130" w:rsidR="00270E1F" w:rsidRPr="00376402" w:rsidRDefault="00270E1F" w:rsidP="00270E1F">
      <w:pPr>
        <w:pBdr>
          <w:top w:val="nil"/>
          <w:left w:val="nil"/>
          <w:bottom w:val="nil"/>
          <w:right w:val="nil"/>
          <w:between w:val="nil"/>
        </w:pBdr>
        <w:tabs>
          <w:tab w:val="left" w:pos="340"/>
        </w:tabs>
        <w:spacing w:after="0"/>
        <w:ind w:left="360"/>
      </w:pPr>
      <w:r>
        <w:t xml:space="preserve">In this case, the alternative approach for specifying internal mass is employed. The temperature capacity multiplier </w:t>
      </w:r>
      <w:r w:rsidR="00042233">
        <w:t xml:space="preserve">of </w:t>
      </w:r>
      <w:proofErr w:type="spellStart"/>
      <w:r w:rsidR="00042233">
        <w:t>Core_ZN</w:t>
      </w:r>
      <w:proofErr w:type="spellEnd"/>
      <w:r w:rsidR="00042233">
        <w:t xml:space="preserve"> </w:t>
      </w:r>
      <w:r>
        <w:t xml:space="preserve">is set to 8 to represent a “typical” amount of internal mass as suggested by </w:t>
      </w:r>
      <w:r>
        <w:fldChar w:fldCharType="begin"/>
      </w:r>
      <w:r w:rsidR="00C33AE2">
        <w:instrText xml:space="preserve"> ADDIN EN.CITE &lt;EndNote&gt;&lt;Cite&gt;&lt;Author&gt;Lee&lt;/Author&gt;&lt;Year&gt;2017&lt;/Year&gt;&lt;RecNum&gt;181&lt;/RecNum&gt;&lt;DisplayText&gt;(Lee &amp;amp; Hong, 2017)&lt;/DisplayText&gt;&lt;record&gt;&lt;rec-number&gt;181&lt;/rec-number&gt;&lt;foreign-keys&gt;&lt;key app="EN" db-id="e2epp5xvs9p5skexse7xssf5tpsprs5zep5d" timestamp="1630350891"&gt;181&lt;/key&gt;&lt;/foreign-keys&gt;&lt;ref-type name="Conference Proceedings"&gt;10&lt;/ref-type&gt;&lt;contributors&gt;&lt;authors&gt;&lt;author&gt;Lee, San Hoon&lt;/author&gt;&lt;author&gt;Hong, Tianzhen&lt;/author&gt;&lt;/authors&gt;&lt;/contributors&gt;&lt;titles&gt;&lt;title&gt;Leveraging zone air temperature data to improve physics-based energy simulation of existing buildings&lt;/title&gt;&lt;secondary-title&gt;15th IBPSA Conference San Francisco, CA, USA, Aug. 7-9, 2017&lt;/secondary-title&gt;&lt;/titles&gt;&lt;dates&gt;&lt;year&gt;2017&lt;/year&gt;&lt;/dates&gt;&lt;urls&gt;&lt;/urls&gt;&lt;/record&gt;&lt;/Cite&gt;&lt;/EndNote&gt;</w:instrText>
      </w:r>
      <w:r>
        <w:fldChar w:fldCharType="separate"/>
      </w:r>
      <w:r w:rsidR="00C33AE2">
        <w:rPr>
          <w:noProof/>
        </w:rPr>
        <w:t xml:space="preserve">Lee </w:t>
      </w:r>
      <w:r w:rsidR="00C74427">
        <w:rPr>
          <w:noProof/>
        </w:rPr>
        <w:t>and</w:t>
      </w:r>
      <w:r w:rsidR="00C33AE2">
        <w:rPr>
          <w:noProof/>
        </w:rPr>
        <w:t xml:space="preserve"> Hong </w:t>
      </w:r>
      <w:r w:rsidR="00C74427">
        <w:rPr>
          <w:noProof/>
        </w:rPr>
        <w:t>(</w:t>
      </w:r>
      <w:r w:rsidR="00C33AE2">
        <w:rPr>
          <w:noProof/>
        </w:rPr>
        <w:t>2017)</w:t>
      </w:r>
      <w:r>
        <w:fldChar w:fldCharType="end"/>
      </w:r>
      <w:r>
        <w:t>.</w:t>
      </w:r>
    </w:p>
    <w:p w14:paraId="591080C9" w14:textId="7FC46B44" w:rsidR="007D3963" w:rsidRDefault="00CE085D">
      <w:pPr>
        <w:pBdr>
          <w:top w:val="nil"/>
          <w:left w:val="nil"/>
          <w:bottom w:val="nil"/>
          <w:right w:val="nil"/>
          <w:between w:val="nil"/>
        </w:pBdr>
        <w:spacing w:before="60"/>
        <w:rPr>
          <w:color w:val="000000"/>
          <w:lang w:eastAsia="zh-CN"/>
        </w:rPr>
      </w:pPr>
      <w:r>
        <w:rPr>
          <w:color w:val="000000"/>
          <w:lang w:eastAsia="zh-CN"/>
        </w:rPr>
        <w:fldChar w:fldCharType="begin"/>
      </w:r>
      <w:r>
        <w:rPr>
          <w:color w:val="000000"/>
          <w:lang w:eastAsia="zh-CN"/>
        </w:rPr>
        <w:instrText xml:space="preserve"> REF _Ref93673765 \h </w:instrText>
      </w:r>
      <w:r>
        <w:rPr>
          <w:color w:val="000000"/>
          <w:lang w:eastAsia="zh-CN"/>
        </w:rPr>
      </w:r>
      <w:r>
        <w:rPr>
          <w:color w:val="000000"/>
          <w:lang w:eastAsia="zh-CN"/>
        </w:rPr>
        <w:fldChar w:fldCharType="separate"/>
      </w:r>
      <w:r w:rsidR="00D5179F">
        <w:t xml:space="preserve">Figure </w:t>
      </w:r>
      <w:r w:rsidR="00D5179F">
        <w:rPr>
          <w:noProof/>
        </w:rPr>
        <w:t>4</w:t>
      </w:r>
      <w:r>
        <w:rPr>
          <w:color w:val="000000"/>
          <w:lang w:eastAsia="zh-CN"/>
        </w:rPr>
        <w:fldChar w:fldCharType="end"/>
      </w:r>
      <w:r>
        <w:rPr>
          <w:color w:val="000000"/>
          <w:lang w:eastAsia="zh-CN"/>
        </w:rPr>
        <w:t xml:space="preserve"> and </w:t>
      </w:r>
      <w:r>
        <w:rPr>
          <w:color w:val="000000"/>
          <w:lang w:eastAsia="zh-CN"/>
        </w:rPr>
        <w:fldChar w:fldCharType="begin"/>
      </w:r>
      <w:r>
        <w:rPr>
          <w:color w:val="000000"/>
          <w:lang w:eastAsia="zh-CN"/>
        </w:rPr>
        <w:instrText xml:space="preserve"> REF _Ref93673784 \h </w:instrText>
      </w:r>
      <w:r>
        <w:rPr>
          <w:color w:val="000000"/>
          <w:lang w:eastAsia="zh-CN"/>
        </w:rPr>
      </w:r>
      <w:r>
        <w:rPr>
          <w:color w:val="000000"/>
          <w:lang w:eastAsia="zh-CN"/>
        </w:rPr>
        <w:fldChar w:fldCharType="separate"/>
      </w:r>
      <w:r w:rsidR="00D5179F">
        <w:t xml:space="preserve">Figure </w:t>
      </w:r>
      <w:r w:rsidR="00D5179F">
        <w:rPr>
          <w:noProof/>
        </w:rPr>
        <w:t>5</w:t>
      </w:r>
      <w:r>
        <w:rPr>
          <w:color w:val="000000"/>
          <w:lang w:eastAsia="zh-CN"/>
        </w:rPr>
        <w:fldChar w:fldCharType="end"/>
      </w:r>
      <w:r>
        <w:rPr>
          <w:color w:val="000000"/>
          <w:lang w:eastAsia="zh-CN"/>
        </w:rPr>
        <w:t xml:space="preserve"> present the zone temperature dynamic and HVAC power with and without InternalMass object, respectively. The</w:t>
      </w:r>
      <w:r w:rsidR="007C0611">
        <w:rPr>
          <w:color w:val="000000"/>
          <w:lang w:eastAsia="zh-CN"/>
        </w:rPr>
        <w:t xml:space="preserve"> oscillation of these </w:t>
      </w:r>
      <w:r>
        <w:rPr>
          <w:color w:val="000000"/>
          <w:lang w:eastAsia="zh-CN"/>
        </w:rPr>
        <w:t xml:space="preserve">profiles </w:t>
      </w:r>
      <w:r w:rsidR="00F64D1E">
        <w:rPr>
          <w:color w:val="000000"/>
          <w:lang w:eastAsia="zh-CN"/>
        </w:rPr>
        <w:t xml:space="preserve">is </w:t>
      </w:r>
      <w:r w:rsidR="00312E6B">
        <w:rPr>
          <w:color w:val="000000"/>
          <w:lang w:eastAsia="zh-CN"/>
        </w:rPr>
        <w:t>typical for</w:t>
      </w:r>
      <w:r>
        <w:rPr>
          <w:color w:val="000000"/>
          <w:lang w:eastAsia="zh-CN"/>
        </w:rPr>
        <w:t xml:space="preserve"> HVAC system</w:t>
      </w:r>
      <w:r w:rsidR="00DE3B15">
        <w:rPr>
          <w:color w:val="000000"/>
          <w:lang w:eastAsia="zh-CN"/>
        </w:rPr>
        <w:t>s</w:t>
      </w:r>
      <w:r>
        <w:rPr>
          <w:color w:val="000000"/>
          <w:lang w:eastAsia="zh-CN"/>
        </w:rPr>
        <w:t xml:space="preserve"> with on/off control.</w:t>
      </w:r>
      <w:r w:rsidR="00FD4023">
        <w:rPr>
          <w:color w:val="000000"/>
          <w:lang w:eastAsia="zh-CN"/>
        </w:rPr>
        <w:t xml:space="preserve"> As can be seen from the figures, a</w:t>
      </w:r>
      <w:r w:rsidR="00FD4023" w:rsidRPr="00807A7E">
        <w:rPr>
          <w:color w:val="000000"/>
          <w:lang w:eastAsia="zh-CN"/>
        </w:rPr>
        <w:t xml:space="preserve">dding a </w:t>
      </w:r>
      <w:r w:rsidR="00F32EA3">
        <w:rPr>
          <w:color w:val="000000"/>
          <w:lang w:eastAsia="zh-CN"/>
        </w:rPr>
        <w:t>“</w:t>
      </w:r>
      <w:r w:rsidR="00FD4023" w:rsidRPr="00807A7E">
        <w:rPr>
          <w:color w:val="000000"/>
          <w:lang w:eastAsia="zh-CN"/>
        </w:rPr>
        <w:t>typical</w:t>
      </w:r>
      <w:r w:rsidR="00F32EA3">
        <w:rPr>
          <w:color w:val="000000"/>
          <w:lang w:eastAsia="zh-CN"/>
        </w:rPr>
        <w:t>”</w:t>
      </w:r>
      <w:r w:rsidR="00FD4023">
        <w:rPr>
          <w:color w:val="000000"/>
          <w:lang w:eastAsia="zh-CN"/>
        </w:rPr>
        <w:t xml:space="preserve"> amount of</w:t>
      </w:r>
      <w:r w:rsidR="00FD4023" w:rsidRPr="00807A7E">
        <w:rPr>
          <w:color w:val="000000"/>
          <w:lang w:eastAsia="zh-CN"/>
        </w:rPr>
        <w:t xml:space="preserve"> internal mass through the InternalMass object </w:t>
      </w:r>
      <w:r w:rsidR="00FD4023">
        <w:rPr>
          <w:color w:val="000000"/>
          <w:lang w:eastAsia="zh-CN"/>
        </w:rPr>
        <w:t>slightly</w:t>
      </w:r>
      <w:r w:rsidR="00FD4023" w:rsidRPr="00807A7E">
        <w:rPr>
          <w:color w:val="000000"/>
          <w:lang w:eastAsia="zh-CN"/>
        </w:rPr>
        <w:t xml:space="preserve"> </w:t>
      </w:r>
      <w:r w:rsidR="00FD4023">
        <w:rPr>
          <w:color w:val="000000"/>
          <w:lang w:eastAsia="zh-CN"/>
        </w:rPr>
        <w:t>increase</w:t>
      </w:r>
      <w:r w:rsidR="00DE3B15">
        <w:rPr>
          <w:color w:val="000000"/>
          <w:lang w:eastAsia="zh-CN"/>
        </w:rPr>
        <w:t>s</w:t>
      </w:r>
      <w:r w:rsidR="00FD4023">
        <w:rPr>
          <w:color w:val="000000"/>
          <w:lang w:eastAsia="zh-CN"/>
        </w:rPr>
        <w:t xml:space="preserve"> </w:t>
      </w:r>
      <w:r w:rsidR="00FD4023" w:rsidRPr="00807A7E">
        <w:rPr>
          <w:color w:val="000000"/>
          <w:lang w:eastAsia="zh-CN"/>
        </w:rPr>
        <w:t xml:space="preserve">the </w:t>
      </w:r>
      <w:r w:rsidR="00FD4023">
        <w:rPr>
          <w:color w:val="000000"/>
          <w:lang w:eastAsia="zh-CN"/>
        </w:rPr>
        <w:t xml:space="preserve">on/off </w:t>
      </w:r>
      <w:r w:rsidR="00FD4023" w:rsidRPr="00807A7E">
        <w:rPr>
          <w:color w:val="000000"/>
          <w:lang w:eastAsia="zh-CN"/>
        </w:rPr>
        <w:t>frequency of the HVAC system</w:t>
      </w:r>
      <w:r w:rsidR="00FD4023">
        <w:rPr>
          <w:color w:val="000000"/>
          <w:lang w:eastAsia="zh-CN"/>
        </w:rPr>
        <w:t xml:space="preserve">. </w:t>
      </w:r>
      <w:r w:rsidR="00FD4023" w:rsidRPr="00893E6C">
        <w:rPr>
          <w:color w:val="000000"/>
          <w:lang w:eastAsia="zh-CN"/>
        </w:rPr>
        <w:t xml:space="preserve">This is mainly due to the increase </w:t>
      </w:r>
      <w:r w:rsidR="00FD4023">
        <w:rPr>
          <w:color w:val="000000"/>
          <w:lang w:eastAsia="zh-CN"/>
        </w:rPr>
        <w:t>of</w:t>
      </w:r>
      <w:r w:rsidR="00FD4023" w:rsidRPr="00893E6C">
        <w:rPr>
          <w:color w:val="000000"/>
          <w:lang w:eastAsia="zh-CN"/>
        </w:rPr>
        <w:t xml:space="preserve"> internal surfaces </w:t>
      </w:r>
      <w:r w:rsidR="00FD4023">
        <w:rPr>
          <w:color w:val="000000"/>
          <w:lang w:eastAsia="zh-CN"/>
        </w:rPr>
        <w:t xml:space="preserve">that </w:t>
      </w:r>
      <w:proofErr w:type="gramStart"/>
      <w:r w:rsidR="00FD4023">
        <w:rPr>
          <w:color w:val="000000"/>
          <w:lang w:eastAsia="zh-CN"/>
        </w:rPr>
        <w:t xml:space="preserve">are </w:t>
      </w:r>
      <w:r w:rsidR="00FD4023" w:rsidRPr="00893E6C">
        <w:rPr>
          <w:color w:val="000000"/>
          <w:lang w:eastAsia="zh-CN"/>
        </w:rPr>
        <w:t>capable of absorbing</w:t>
      </w:r>
      <w:proofErr w:type="gramEnd"/>
      <w:r w:rsidR="00FD4023" w:rsidRPr="00893E6C">
        <w:rPr>
          <w:color w:val="000000"/>
          <w:lang w:eastAsia="zh-CN"/>
        </w:rPr>
        <w:t xml:space="preserve"> heat, resulting in a </w:t>
      </w:r>
      <w:r w:rsidR="00FD4023">
        <w:rPr>
          <w:color w:val="000000"/>
          <w:lang w:eastAsia="zh-CN"/>
        </w:rPr>
        <w:t>small increase</w:t>
      </w:r>
      <w:r w:rsidR="00FD4023" w:rsidRPr="00893E6C">
        <w:rPr>
          <w:color w:val="000000"/>
          <w:lang w:eastAsia="zh-CN"/>
        </w:rPr>
        <w:t xml:space="preserve"> </w:t>
      </w:r>
      <w:r w:rsidR="00DE3B15">
        <w:rPr>
          <w:color w:val="000000"/>
          <w:lang w:eastAsia="zh-CN"/>
        </w:rPr>
        <w:t xml:space="preserve">in </w:t>
      </w:r>
      <w:r w:rsidR="00FD4023">
        <w:rPr>
          <w:color w:val="000000"/>
          <w:lang w:eastAsia="zh-CN"/>
        </w:rPr>
        <w:t>zone sensible cooling load</w:t>
      </w:r>
      <w:r w:rsidR="00A741A2">
        <w:rPr>
          <w:color w:val="000000"/>
          <w:lang w:eastAsia="zh-CN"/>
        </w:rPr>
        <w:t xml:space="preserve"> (as shown in </w:t>
      </w:r>
      <w:r w:rsidR="00A741A2">
        <w:fldChar w:fldCharType="begin"/>
      </w:r>
      <w:r w:rsidR="00A741A2">
        <w:instrText xml:space="preserve"> REF _Ref93692787 \h </w:instrText>
      </w:r>
      <w:r w:rsidR="00A741A2">
        <w:fldChar w:fldCharType="separate"/>
      </w:r>
      <w:r w:rsidR="00D5179F">
        <w:t xml:space="preserve">Table </w:t>
      </w:r>
      <w:r w:rsidR="00D5179F">
        <w:rPr>
          <w:noProof/>
        </w:rPr>
        <w:t>4</w:t>
      </w:r>
      <w:r w:rsidR="00A741A2">
        <w:fldChar w:fldCharType="end"/>
      </w:r>
      <w:r w:rsidR="00A741A2">
        <w:t>)</w:t>
      </w:r>
      <w:r w:rsidR="00FD4023" w:rsidRPr="00893E6C">
        <w:rPr>
          <w:color w:val="000000"/>
          <w:lang w:eastAsia="zh-CN"/>
        </w:rPr>
        <w:t>.</w:t>
      </w:r>
    </w:p>
    <w:p w14:paraId="398562FF" w14:textId="00B433A3" w:rsidR="00DC5675" w:rsidRPr="00FD4023" w:rsidRDefault="00DC5675" w:rsidP="00DC5675">
      <w:pPr>
        <w:pBdr>
          <w:top w:val="nil"/>
          <w:left w:val="nil"/>
          <w:bottom w:val="nil"/>
          <w:right w:val="nil"/>
          <w:between w:val="nil"/>
        </w:pBdr>
        <w:spacing w:before="60"/>
        <w:rPr>
          <w:color w:val="000000"/>
          <w:lang w:eastAsia="zh-CN"/>
        </w:rPr>
      </w:pPr>
      <w:r>
        <w:rPr>
          <w:color w:val="000000"/>
          <w:lang w:eastAsia="zh-CN"/>
        </w:rPr>
        <w:fldChar w:fldCharType="begin"/>
      </w:r>
      <w:r>
        <w:rPr>
          <w:color w:val="000000"/>
          <w:lang w:eastAsia="zh-CN"/>
        </w:rPr>
        <w:instrText xml:space="preserve"> REF _Ref93674744 \h </w:instrText>
      </w:r>
      <w:r>
        <w:rPr>
          <w:color w:val="000000"/>
          <w:lang w:eastAsia="zh-CN"/>
        </w:rPr>
      </w:r>
      <w:r>
        <w:rPr>
          <w:color w:val="000000"/>
          <w:lang w:eastAsia="zh-CN"/>
        </w:rPr>
        <w:fldChar w:fldCharType="separate"/>
      </w:r>
      <w:r w:rsidR="00D5179F">
        <w:t xml:space="preserve">Figure </w:t>
      </w:r>
      <w:r w:rsidR="00D5179F">
        <w:rPr>
          <w:noProof/>
        </w:rPr>
        <w:t>6</w:t>
      </w:r>
      <w:r>
        <w:rPr>
          <w:color w:val="000000"/>
          <w:lang w:eastAsia="zh-CN"/>
        </w:rPr>
        <w:fldChar w:fldCharType="end"/>
      </w:r>
      <w:r>
        <w:rPr>
          <w:color w:val="000000"/>
          <w:lang w:eastAsia="zh-CN"/>
        </w:rPr>
        <w:t xml:space="preserve"> and </w:t>
      </w:r>
      <w:r>
        <w:rPr>
          <w:color w:val="000000"/>
          <w:lang w:eastAsia="zh-CN"/>
        </w:rPr>
        <w:fldChar w:fldCharType="begin"/>
      </w:r>
      <w:r>
        <w:rPr>
          <w:color w:val="000000"/>
          <w:lang w:eastAsia="zh-CN"/>
        </w:rPr>
        <w:instrText xml:space="preserve"> REF _Ref93674756 \h </w:instrText>
      </w:r>
      <w:r>
        <w:rPr>
          <w:color w:val="000000"/>
          <w:lang w:eastAsia="zh-CN"/>
        </w:rPr>
      </w:r>
      <w:r>
        <w:rPr>
          <w:color w:val="000000"/>
          <w:lang w:eastAsia="zh-CN"/>
        </w:rPr>
        <w:fldChar w:fldCharType="separate"/>
      </w:r>
      <w:r w:rsidR="00D5179F">
        <w:t xml:space="preserve">Figure </w:t>
      </w:r>
      <w:r w:rsidR="00D5179F">
        <w:rPr>
          <w:noProof/>
        </w:rPr>
        <w:t>7</w:t>
      </w:r>
      <w:r>
        <w:rPr>
          <w:color w:val="000000"/>
          <w:lang w:eastAsia="zh-CN"/>
        </w:rPr>
        <w:fldChar w:fldCharType="end"/>
      </w:r>
      <w:r>
        <w:rPr>
          <w:color w:val="000000"/>
          <w:lang w:eastAsia="zh-CN"/>
        </w:rPr>
        <w:t xml:space="preserve"> depict the zone temperature dynamic and HVAC power with and without temperature capacity multiplier, respectively. Compared to the </w:t>
      </w:r>
      <w:proofErr w:type="spellStart"/>
      <w:r>
        <w:rPr>
          <w:color w:val="000000"/>
          <w:lang w:eastAsia="zh-CN"/>
        </w:rPr>
        <w:t>IntermalMass</w:t>
      </w:r>
      <w:proofErr w:type="spellEnd"/>
      <w:r>
        <w:rPr>
          <w:color w:val="000000"/>
          <w:lang w:eastAsia="zh-CN"/>
        </w:rPr>
        <w:t xml:space="preserve"> object approach, adding a “typical” amount of internal mass using a temperature capacity multiplier significantly decreases the on/off frequency of the HVAC system. However, the increased damping behavior not only slows down the temperature rise when the system is off, but also slows down the cooling when the system is on. As a result, each cooling period is longer.</w:t>
      </w:r>
    </w:p>
    <w:p w14:paraId="1238EFB5" w14:textId="34E38319" w:rsidR="00DC5675" w:rsidRDefault="00DC5675">
      <w:pPr>
        <w:pBdr>
          <w:top w:val="nil"/>
          <w:left w:val="nil"/>
          <w:bottom w:val="nil"/>
          <w:right w:val="nil"/>
          <w:between w:val="nil"/>
        </w:pBdr>
        <w:spacing w:before="60"/>
        <w:rPr>
          <w:color w:val="000000"/>
          <w:lang w:eastAsia="zh-CN"/>
        </w:rPr>
      </w:pPr>
      <w:r>
        <w:fldChar w:fldCharType="begin"/>
      </w:r>
      <w:r>
        <w:instrText xml:space="preserve"> REF _Ref93692787 \h </w:instrText>
      </w:r>
      <w:r>
        <w:fldChar w:fldCharType="separate"/>
      </w:r>
      <w:r w:rsidR="00D5179F">
        <w:t xml:space="preserve">Table </w:t>
      </w:r>
      <w:r w:rsidR="00D5179F">
        <w:rPr>
          <w:noProof/>
        </w:rPr>
        <w:t>4</w:t>
      </w:r>
      <w:r>
        <w:fldChar w:fldCharType="end"/>
      </w:r>
      <w:r>
        <w:t xml:space="preserve"> summarizes the average zone sensible cooling load and HVAC power of each case. The zone sensible cooling load is calculated by replacing the </w:t>
      </w:r>
      <w:proofErr w:type="spellStart"/>
      <w:r>
        <w:t>Core_ZN</w:t>
      </w:r>
      <w:proofErr w:type="spellEnd"/>
      <w:r>
        <w:t xml:space="preserve"> heat pump system with an ideal load system. </w:t>
      </w:r>
      <w:r w:rsidRPr="005E310D">
        <w:t xml:space="preserve">The way </w:t>
      </w:r>
      <w:r>
        <w:t xml:space="preserve">that </w:t>
      </w:r>
      <w:r w:rsidRPr="005E310D">
        <w:t xml:space="preserve">the </w:t>
      </w:r>
      <w:r>
        <w:t>InternalMass</w:t>
      </w:r>
      <w:r w:rsidRPr="005E310D">
        <w:t xml:space="preserve"> object </w:t>
      </w:r>
      <w:r>
        <w:t>specifies</w:t>
      </w:r>
      <w:r w:rsidRPr="005E310D">
        <w:t xml:space="preserve"> the internal mass by increasing the internal area lead</w:t>
      </w:r>
      <w:r>
        <w:t>s</w:t>
      </w:r>
      <w:r w:rsidRPr="005E310D">
        <w:t xml:space="preserve"> to an increase in the</w:t>
      </w:r>
      <w:r>
        <w:t xml:space="preserve"> zone</w:t>
      </w:r>
      <w:r w:rsidRPr="005E310D">
        <w:t xml:space="preserve"> cooling load (or a </w:t>
      </w:r>
      <w:r>
        <w:t xml:space="preserve">reduced </w:t>
      </w:r>
      <w:r w:rsidRPr="005E310D">
        <w:t>heating load in the case of heating</w:t>
      </w:r>
      <w:r>
        <w:t>), while the impact of changing zone air capacitance on building load is i</w:t>
      </w:r>
      <w:r w:rsidRPr="0019509C">
        <w:t>mperceptible</w:t>
      </w:r>
      <w:r>
        <w:t>. For the approach of changing zone air capacitance, despite the i</w:t>
      </w:r>
      <w:r w:rsidRPr="0019509C">
        <w:t>mperceptible</w:t>
      </w:r>
      <w:r>
        <w:t xml:space="preserve"> </w:t>
      </w:r>
      <w:r>
        <w:lastRenderedPageBreak/>
        <w:t>change in building load, the overall energy consumption decreases slightly mainly due to the decrease in the on/off frequency.</w:t>
      </w:r>
    </w:p>
    <w:p w14:paraId="44F3F4FF" w14:textId="72D81BB4" w:rsidR="00CE085D" w:rsidRDefault="00BB61A0" w:rsidP="001421D7">
      <w:pPr>
        <w:pBdr>
          <w:top w:val="nil"/>
          <w:left w:val="nil"/>
          <w:bottom w:val="nil"/>
          <w:right w:val="nil"/>
          <w:between w:val="nil"/>
        </w:pBdr>
        <w:spacing w:before="60"/>
        <w:jc w:val="center"/>
        <w:rPr>
          <w:color w:val="000000"/>
          <w:lang w:eastAsia="zh-CN"/>
        </w:rPr>
      </w:pPr>
      <w:r w:rsidRPr="00BB61A0">
        <w:rPr>
          <w:noProof/>
          <w:color w:val="000000"/>
          <w:lang w:eastAsia="zh-CN"/>
        </w:rPr>
        <w:drawing>
          <wp:inline distT="0" distB="0" distL="0" distR="0" wp14:anchorId="1E08BCE8" wp14:editId="656E2B5E">
            <wp:extent cx="2834640" cy="1555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1555805"/>
                    </a:xfrm>
                    <a:prstGeom prst="rect">
                      <a:avLst/>
                    </a:prstGeom>
                    <a:noFill/>
                    <a:ln>
                      <a:noFill/>
                    </a:ln>
                  </pic:spPr>
                </pic:pic>
              </a:graphicData>
            </a:graphic>
          </wp:inline>
        </w:drawing>
      </w:r>
    </w:p>
    <w:p w14:paraId="5DC3C3EC" w14:textId="1FF6DF9A" w:rsidR="00CE085D" w:rsidRDefault="00CE085D" w:rsidP="00D85F46">
      <w:pPr>
        <w:pStyle w:val="Caption"/>
        <w:rPr>
          <w:color w:val="000000"/>
        </w:rPr>
      </w:pPr>
      <w:bookmarkStart w:id="8" w:name="_Ref93673765"/>
      <w:r>
        <w:t xml:space="preserve">Figure </w:t>
      </w:r>
      <w:r w:rsidR="00190A02">
        <w:fldChar w:fldCharType="begin"/>
      </w:r>
      <w:r w:rsidR="00190A02">
        <w:instrText xml:space="preserve"> SEQ Figure \* ARABIC </w:instrText>
      </w:r>
      <w:r w:rsidR="00190A02">
        <w:fldChar w:fldCharType="separate"/>
      </w:r>
      <w:r w:rsidR="00D5179F">
        <w:rPr>
          <w:noProof/>
        </w:rPr>
        <w:t>4</w:t>
      </w:r>
      <w:r w:rsidR="00190A02">
        <w:rPr>
          <w:noProof/>
        </w:rPr>
        <w:fldChar w:fldCharType="end"/>
      </w:r>
      <w:bookmarkEnd w:id="8"/>
      <w:r>
        <w:rPr>
          <w:color w:val="000000"/>
        </w:rPr>
        <w:t>: Temperature dynamics with and without InternalMass object.</w:t>
      </w:r>
    </w:p>
    <w:p w14:paraId="1218DD10" w14:textId="3A0E59CF" w:rsidR="00CE085D" w:rsidRDefault="00BB61A0" w:rsidP="001421D7">
      <w:pPr>
        <w:pBdr>
          <w:top w:val="nil"/>
          <w:left w:val="nil"/>
          <w:bottom w:val="nil"/>
          <w:right w:val="nil"/>
          <w:between w:val="nil"/>
        </w:pBdr>
        <w:spacing w:before="60"/>
        <w:jc w:val="center"/>
        <w:rPr>
          <w:color w:val="000000"/>
          <w:lang w:eastAsia="zh-CN"/>
        </w:rPr>
      </w:pPr>
      <w:r w:rsidRPr="00BB61A0">
        <w:rPr>
          <w:noProof/>
          <w:color w:val="000000"/>
          <w:lang w:eastAsia="zh-CN"/>
        </w:rPr>
        <w:drawing>
          <wp:inline distT="0" distB="0" distL="0" distR="0" wp14:anchorId="725014B1" wp14:editId="5B304259">
            <wp:extent cx="2834640" cy="155580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640" cy="1555805"/>
                    </a:xfrm>
                    <a:prstGeom prst="rect">
                      <a:avLst/>
                    </a:prstGeom>
                    <a:noFill/>
                    <a:ln>
                      <a:noFill/>
                    </a:ln>
                  </pic:spPr>
                </pic:pic>
              </a:graphicData>
            </a:graphic>
          </wp:inline>
        </w:drawing>
      </w:r>
    </w:p>
    <w:p w14:paraId="486FAA08" w14:textId="0E3A6ECD" w:rsidR="00CE085D" w:rsidRDefault="00CE085D" w:rsidP="00CE085D">
      <w:pPr>
        <w:pStyle w:val="Caption"/>
        <w:rPr>
          <w:color w:val="000000"/>
        </w:rPr>
      </w:pPr>
      <w:bookmarkStart w:id="9" w:name="_Ref93673784"/>
      <w:r>
        <w:t xml:space="preserve">Figure </w:t>
      </w:r>
      <w:r w:rsidR="00190A02">
        <w:fldChar w:fldCharType="begin"/>
      </w:r>
      <w:r w:rsidR="00190A02">
        <w:instrText xml:space="preserve"> SEQ Figure \* ARABIC </w:instrText>
      </w:r>
      <w:r w:rsidR="00190A02">
        <w:fldChar w:fldCharType="separate"/>
      </w:r>
      <w:r w:rsidR="00D5179F">
        <w:rPr>
          <w:noProof/>
        </w:rPr>
        <w:t>5</w:t>
      </w:r>
      <w:r w:rsidR="00190A02">
        <w:rPr>
          <w:noProof/>
        </w:rPr>
        <w:fldChar w:fldCharType="end"/>
      </w:r>
      <w:bookmarkEnd w:id="9"/>
      <w:r>
        <w:rPr>
          <w:color w:val="000000"/>
        </w:rPr>
        <w:t>: HVAC power with and without InternalMass object.</w:t>
      </w:r>
    </w:p>
    <w:p w14:paraId="6FDCFE37" w14:textId="4BEAE4F5" w:rsidR="00475989" w:rsidRDefault="00DD2532" w:rsidP="001421D7">
      <w:pPr>
        <w:pBdr>
          <w:top w:val="nil"/>
          <w:left w:val="nil"/>
          <w:bottom w:val="nil"/>
          <w:right w:val="nil"/>
          <w:between w:val="nil"/>
        </w:pBdr>
        <w:spacing w:before="60"/>
        <w:jc w:val="center"/>
        <w:rPr>
          <w:color w:val="000000"/>
          <w:lang w:eastAsia="zh-CN"/>
        </w:rPr>
      </w:pPr>
      <w:r w:rsidRPr="00DD2532">
        <w:rPr>
          <w:noProof/>
          <w:color w:val="000000"/>
          <w:lang w:eastAsia="zh-CN"/>
        </w:rPr>
        <w:drawing>
          <wp:inline distT="0" distB="0" distL="0" distR="0" wp14:anchorId="395CFF39" wp14:editId="5B6DD02B">
            <wp:extent cx="2834640" cy="1555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555805"/>
                    </a:xfrm>
                    <a:prstGeom prst="rect">
                      <a:avLst/>
                    </a:prstGeom>
                    <a:noFill/>
                    <a:ln>
                      <a:noFill/>
                    </a:ln>
                  </pic:spPr>
                </pic:pic>
              </a:graphicData>
            </a:graphic>
          </wp:inline>
        </w:drawing>
      </w:r>
    </w:p>
    <w:p w14:paraId="13BBB6D9" w14:textId="5515659C" w:rsidR="00475989" w:rsidRDefault="00475989" w:rsidP="00A02390">
      <w:pPr>
        <w:pStyle w:val="Caption"/>
        <w:rPr>
          <w:color w:val="000000"/>
        </w:rPr>
      </w:pPr>
      <w:bookmarkStart w:id="10" w:name="_Ref93674744"/>
      <w:r>
        <w:t xml:space="preserve">Figure </w:t>
      </w:r>
      <w:r w:rsidR="00190A02">
        <w:fldChar w:fldCharType="begin"/>
      </w:r>
      <w:r w:rsidR="00190A02">
        <w:instrText xml:space="preserve"> SEQ Figure \* ARABIC </w:instrText>
      </w:r>
      <w:r w:rsidR="00190A02">
        <w:fldChar w:fldCharType="separate"/>
      </w:r>
      <w:r w:rsidR="00D5179F">
        <w:rPr>
          <w:noProof/>
        </w:rPr>
        <w:t>6</w:t>
      </w:r>
      <w:r w:rsidR="00190A02">
        <w:rPr>
          <w:noProof/>
        </w:rPr>
        <w:fldChar w:fldCharType="end"/>
      </w:r>
      <w:bookmarkEnd w:id="10"/>
      <w:r>
        <w:rPr>
          <w:color w:val="000000"/>
        </w:rPr>
        <w:t>: Temperature dynamics with and without temperature capacity multiplier.</w:t>
      </w:r>
    </w:p>
    <w:p w14:paraId="21F58D7C" w14:textId="1FB8B589" w:rsidR="00475989" w:rsidRDefault="00DD2532" w:rsidP="001421D7">
      <w:pPr>
        <w:pBdr>
          <w:top w:val="nil"/>
          <w:left w:val="nil"/>
          <w:bottom w:val="nil"/>
          <w:right w:val="nil"/>
          <w:between w:val="nil"/>
        </w:pBdr>
        <w:spacing w:before="60"/>
        <w:jc w:val="center"/>
        <w:rPr>
          <w:color w:val="000000"/>
          <w:lang w:eastAsia="zh-CN"/>
        </w:rPr>
      </w:pPr>
      <w:r w:rsidRPr="00DD2532">
        <w:rPr>
          <w:noProof/>
          <w:color w:val="000000"/>
          <w:lang w:eastAsia="zh-CN"/>
        </w:rPr>
        <w:drawing>
          <wp:inline distT="0" distB="0" distL="0" distR="0" wp14:anchorId="01F0BD94" wp14:editId="2F0E425D">
            <wp:extent cx="2834640" cy="15558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1555804"/>
                    </a:xfrm>
                    <a:prstGeom prst="rect">
                      <a:avLst/>
                    </a:prstGeom>
                    <a:noFill/>
                    <a:ln>
                      <a:noFill/>
                    </a:ln>
                  </pic:spPr>
                </pic:pic>
              </a:graphicData>
            </a:graphic>
          </wp:inline>
        </w:drawing>
      </w:r>
    </w:p>
    <w:p w14:paraId="20268702" w14:textId="72CC2220" w:rsidR="00237595" w:rsidRPr="00DC5675" w:rsidRDefault="00475989" w:rsidP="00DC5675">
      <w:pPr>
        <w:pStyle w:val="Caption"/>
        <w:rPr>
          <w:color w:val="000000"/>
        </w:rPr>
      </w:pPr>
      <w:bookmarkStart w:id="11" w:name="_Ref93674756"/>
      <w:r>
        <w:t xml:space="preserve">Figure </w:t>
      </w:r>
      <w:r w:rsidR="00190A02">
        <w:fldChar w:fldCharType="begin"/>
      </w:r>
      <w:r w:rsidR="00190A02">
        <w:instrText xml:space="preserve"> SEQ Figure \* ARABIC </w:instrText>
      </w:r>
      <w:r w:rsidR="00190A02">
        <w:fldChar w:fldCharType="separate"/>
      </w:r>
      <w:r w:rsidR="00D5179F">
        <w:rPr>
          <w:noProof/>
        </w:rPr>
        <w:t>7</w:t>
      </w:r>
      <w:r w:rsidR="00190A02">
        <w:rPr>
          <w:noProof/>
        </w:rPr>
        <w:fldChar w:fldCharType="end"/>
      </w:r>
      <w:bookmarkEnd w:id="11"/>
      <w:r>
        <w:rPr>
          <w:color w:val="000000"/>
        </w:rPr>
        <w:t>: HVAC power with and without temperature capacity multiplier.</w:t>
      </w:r>
    </w:p>
    <w:p w14:paraId="492833FD" w14:textId="6D1BA098" w:rsidR="00237595" w:rsidRPr="00237595" w:rsidRDefault="00893E6C" w:rsidP="00893E6C">
      <w:pPr>
        <w:pStyle w:val="Caption"/>
        <w:keepNext/>
      </w:pPr>
      <w:bookmarkStart w:id="12" w:name="_Ref93692787"/>
      <w:r>
        <w:t xml:space="preserve">Table </w:t>
      </w:r>
      <w:r w:rsidR="00190A02">
        <w:fldChar w:fldCharType="begin"/>
      </w:r>
      <w:r w:rsidR="00190A02">
        <w:instrText xml:space="preserve"> SEQ Table \* ARABIC </w:instrText>
      </w:r>
      <w:r w:rsidR="00190A02">
        <w:fldChar w:fldCharType="separate"/>
      </w:r>
      <w:r w:rsidR="00D5179F">
        <w:rPr>
          <w:noProof/>
        </w:rPr>
        <w:t>4</w:t>
      </w:r>
      <w:r w:rsidR="00190A02">
        <w:rPr>
          <w:noProof/>
        </w:rPr>
        <w:fldChar w:fldCharType="end"/>
      </w:r>
      <w:bookmarkEnd w:id="12"/>
      <w:r>
        <w:rPr>
          <w:color w:val="000000"/>
        </w:rPr>
        <w:t xml:space="preserve">: </w:t>
      </w:r>
      <w:r w:rsidR="00DD2532">
        <w:rPr>
          <w:color w:val="000000"/>
        </w:rPr>
        <w:t>A</w:t>
      </w:r>
      <w:r>
        <w:rPr>
          <w:color w:val="000000"/>
        </w:rPr>
        <w:t xml:space="preserve">verage </w:t>
      </w:r>
      <w:r w:rsidR="00DD2532">
        <w:rPr>
          <w:color w:val="000000"/>
        </w:rPr>
        <w:t xml:space="preserve">zone </w:t>
      </w:r>
      <w:r>
        <w:rPr>
          <w:color w:val="000000"/>
        </w:rPr>
        <w:t xml:space="preserve">sensible cooling load and HVAC power </w:t>
      </w:r>
    </w:p>
    <w:tbl>
      <w:tblPr>
        <w:tblStyle w:val="a"/>
        <w:tblW w:w="4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1581"/>
        <w:gridCol w:w="1479"/>
      </w:tblGrid>
      <w:tr w:rsidR="00DC79AF" w14:paraId="26EEF2C1" w14:textId="77777777" w:rsidTr="00BE35D6">
        <w:trPr>
          <w:jc w:val="center"/>
        </w:trPr>
        <w:tc>
          <w:tcPr>
            <w:tcW w:w="1435" w:type="dxa"/>
            <w:vAlign w:val="center"/>
          </w:tcPr>
          <w:p w14:paraId="1C92A783" w14:textId="77777777" w:rsidR="00DC79AF" w:rsidRDefault="00DC79AF" w:rsidP="002D1335">
            <w:pPr>
              <w:pBdr>
                <w:top w:val="nil"/>
                <w:left w:val="nil"/>
                <w:bottom w:val="nil"/>
                <w:right w:val="nil"/>
                <w:between w:val="nil"/>
              </w:pBdr>
              <w:spacing w:after="0" w:line="220" w:lineRule="auto"/>
              <w:jc w:val="center"/>
              <w:rPr>
                <w:b/>
                <w:smallCaps/>
                <w:color w:val="000000"/>
                <w:sz w:val="18"/>
                <w:szCs w:val="18"/>
              </w:rPr>
            </w:pPr>
            <w:r>
              <w:rPr>
                <w:b/>
                <w:color w:val="000000"/>
                <w:sz w:val="18"/>
                <w:szCs w:val="18"/>
              </w:rPr>
              <w:t>Case</w:t>
            </w:r>
          </w:p>
        </w:tc>
        <w:tc>
          <w:tcPr>
            <w:tcW w:w="1581" w:type="dxa"/>
            <w:vAlign w:val="center"/>
          </w:tcPr>
          <w:p w14:paraId="41311FE9" w14:textId="5BA9085D" w:rsidR="00DC79AF" w:rsidRPr="007514D0" w:rsidRDefault="00DC79AF" w:rsidP="002D1335">
            <w:pPr>
              <w:pBdr>
                <w:top w:val="nil"/>
                <w:left w:val="nil"/>
                <w:bottom w:val="nil"/>
                <w:right w:val="nil"/>
                <w:between w:val="nil"/>
              </w:pBdr>
              <w:spacing w:after="0" w:line="220" w:lineRule="auto"/>
              <w:jc w:val="center"/>
              <w:rPr>
                <w:b/>
                <w:smallCaps/>
                <w:color w:val="000000"/>
                <w:sz w:val="18"/>
                <w:szCs w:val="18"/>
              </w:rPr>
            </w:pPr>
            <w:r>
              <w:rPr>
                <w:b/>
                <w:color w:val="000000"/>
                <w:sz w:val="18"/>
                <w:szCs w:val="18"/>
              </w:rPr>
              <w:t xml:space="preserve">Average zone sensible cooling </w:t>
            </w:r>
            <w:r w:rsidR="00237595">
              <w:rPr>
                <w:b/>
                <w:color w:val="000000"/>
                <w:sz w:val="18"/>
                <w:szCs w:val="18"/>
              </w:rPr>
              <w:t>load</w:t>
            </w:r>
            <w:r>
              <w:rPr>
                <w:b/>
                <w:color w:val="000000"/>
                <w:sz w:val="18"/>
                <w:szCs w:val="18"/>
              </w:rPr>
              <w:t xml:space="preserve"> [W]</w:t>
            </w:r>
          </w:p>
        </w:tc>
        <w:tc>
          <w:tcPr>
            <w:tcW w:w="1479" w:type="dxa"/>
            <w:vAlign w:val="center"/>
          </w:tcPr>
          <w:p w14:paraId="14A206E3" w14:textId="562F6AD5" w:rsidR="00DC79AF" w:rsidRDefault="00DC79AF" w:rsidP="002D1335">
            <w:pPr>
              <w:pBdr>
                <w:top w:val="nil"/>
                <w:left w:val="nil"/>
                <w:bottom w:val="nil"/>
                <w:right w:val="nil"/>
                <w:between w:val="nil"/>
              </w:pBdr>
              <w:spacing w:after="0" w:line="220" w:lineRule="auto"/>
              <w:jc w:val="center"/>
              <w:rPr>
                <w:b/>
                <w:smallCaps/>
                <w:color w:val="000000"/>
                <w:sz w:val="18"/>
                <w:szCs w:val="18"/>
              </w:rPr>
            </w:pPr>
            <w:r>
              <w:rPr>
                <w:b/>
                <w:color w:val="000000"/>
                <w:sz w:val="18"/>
                <w:szCs w:val="18"/>
              </w:rPr>
              <w:t>Average HVAC power [W]</w:t>
            </w:r>
          </w:p>
        </w:tc>
      </w:tr>
      <w:tr w:rsidR="00DC79AF" w14:paraId="3080821F" w14:textId="77777777" w:rsidTr="00BE35D6">
        <w:trPr>
          <w:jc w:val="center"/>
        </w:trPr>
        <w:tc>
          <w:tcPr>
            <w:tcW w:w="1435" w:type="dxa"/>
            <w:vAlign w:val="center"/>
          </w:tcPr>
          <w:p w14:paraId="3401BF67" w14:textId="4F523869" w:rsidR="00DC79AF" w:rsidRDefault="00DC79AF" w:rsidP="00DC79AF">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=0 &amp; C</w:t>
            </w:r>
            <w:r w:rsidRPr="00DC79AF">
              <w:rPr>
                <w:color w:val="000000"/>
                <w:sz w:val="18"/>
                <w:szCs w:val="18"/>
                <w:vertAlign w:val="subscript"/>
              </w:rPr>
              <w:t>T</w:t>
            </w:r>
            <w:r>
              <w:rPr>
                <w:color w:val="000000"/>
                <w:sz w:val="18"/>
                <w:szCs w:val="18"/>
              </w:rPr>
              <w:t>=1</w:t>
            </w:r>
          </w:p>
        </w:tc>
        <w:tc>
          <w:tcPr>
            <w:tcW w:w="1581" w:type="dxa"/>
            <w:vAlign w:val="center"/>
          </w:tcPr>
          <w:p w14:paraId="421893FB" w14:textId="3E3AAD69" w:rsidR="00DC79AF" w:rsidRDefault="007427FF" w:rsidP="002D1335">
            <w:pPr>
              <w:pBdr>
                <w:top w:val="nil"/>
                <w:left w:val="nil"/>
                <w:bottom w:val="nil"/>
                <w:right w:val="nil"/>
                <w:between w:val="nil"/>
              </w:pBdr>
              <w:spacing w:after="0" w:line="220" w:lineRule="auto"/>
              <w:jc w:val="center"/>
              <w:rPr>
                <w:color w:val="000000"/>
                <w:sz w:val="18"/>
                <w:szCs w:val="18"/>
              </w:rPr>
            </w:pPr>
            <w:r>
              <w:rPr>
                <w:color w:val="000000"/>
                <w:sz w:val="18"/>
                <w:szCs w:val="18"/>
              </w:rPr>
              <w:t>2044</w:t>
            </w:r>
          </w:p>
        </w:tc>
        <w:tc>
          <w:tcPr>
            <w:tcW w:w="1479" w:type="dxa"/>
            <w:vAlign w:val="center"/>
          </w:tcPr>
          <w:p w14:paraId="43F1DB8D" w14:textId="4A4F3C4E" w:rsidR="00DC79AF" w:rsidRDefault="00141CF3" w:rsidP="002D1335">
            <w:pPr>
              <w:pBdr>
                <w:top w:val="nil"/>
                <w:left w:val="nil"/>
                <w:bottom w:val="nil"/>
                <w:right w:val="nil"/>
                <w:between w:val="nil"/>
              </w:pBdr>
              <w:spacing w:after="0" w:line="220" w:lineRule="auto"/>
              <w:jc w:val="center"/>
              <w:rPr>
                <w:color w:val="000000"/>
                <w:sz w:val="18"/>
                <w:szCs w:val="18"/>
              </w:rPr>
            </w:pPr>
            <w:r>
              <w:rPr>
                <w:color w:val="000000"/>
                <w:sz w:val="18"/>
                <w:szCs w:val="18"/>
              </w:rPr>
              <w:t>1168</w:t>
            </w:r>
          </w:p>
        </w:tc>
      </w:tr>
      <w:tr w:rsidR="00DC79AF" w14:paraId="164D917B" w14:textId="77777777" w:rsidTr="00BE35D6">
        <w:trPr>
          <w:jc w:val="center"/>
        </w:trPr>
        <w:tc>
          <w:tcPr>
            <w:tcW w:w="1435" w:type="dxa"/>
            <w:vAlign w:val="center"/>
          </w:tcPr>
          <w:p w14:paraId="7976EB06" w14:textId="5C376988" w:rsidR="00DC79AF" w:rsidRDefault="00DC79AF" w:rsidP="002D1335">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=2</w:t>
            </w:r>
            <w:r w:rsidR="00CF45CA">
              <w:rPr>
                <w:color w:val="000000"/>
                <w:sz w:val="18"/>
                <w:szCs w:val="18"/>
              </w:rPr>
              <w:t>xFlrArea</w:t>
            </w:r>
            <w:r>
              <w:rPr>
                <w:color w:val="000000"/>
                <w:sz w:val="18"/>
                <w:szCs w:val="18"/>
              </w:rPr>
              <w:t xml:space="preserve"> &amp; C</w:t>
            </w:r>
            <w:r w:rsidRPr="00DC79AF">
              <w:rPr>
                <w:color w:val="000000"/>
                <w:sz w:val="18"/>
                <w:szCs w:val="18"/>
                <w:vertAlign w:val="subscript"/>
              </w:rPr>
              <w:t>T</w:t>
            </w:r>
            <w:r>
              <w:rPr>
                <w:color w:val="000000"/>
                <w:sz w:val="18"/>
                <w:szCs w:val="18"/>
              </w:rPr>
              <w:t>=1</w:t>
            </w:r>
          </w:p>
        </w:tc>
        <w:tc>
          <w:tcPr>
            <w:tcW w:w="1581" w:type="dxa"/>
            <w:vAlign w:val="center"/>
          </w:tcPr>
          <w:p w14:paraId="6223386B" w14:textId="71AF9910" w:rsidR="00DC79AF" w:rsidRDefault="007427FF" w:rsidP="002D1335">
            <w:pPr>
              <w:pBdr>
                <w:top w:val="nil"/>
                <w:left w:val="nil"/>
                <w:bottom w:val="nil"/>
                <w:right w:val="nil"/>
                <w:between w:val="nil"/>
              </w:pBdr>
              <w:spacing w:after="0" w:line="220" w:lineRule="auto"/>
              <w:jc w:val="center"/>
              <w:rPr>
                <w:color w:val="000000"/>
                <w:sz w:val="18"/>
                <w:szCs w:val="18"/>
              </w:rPr>
            </w:pPr>
            <w:r>
              <w:rPr>
                <w:color w:val="000000"/>
                <w:sz w:val="18"/>
                <w:szCs w:val="18"/>
              </w:rPr>
              <w:t>2219</w:t>
            </w:r>
          </w:p>
        </w:tc>
        <w:tc>
          <w:tcPr>
            <w:tcW w:w="1479" w:type="dxa"/>
            <w:vAlign w:val="center"/>
          </w:tcPr>
          <w:p w14:paraId="7C3848CB" w14:textId="5F5ECD27" w:rsidR="00DC79AF" w:rsidRDefault="00141CF3" w:rsidP="002D1335">
            <w:pPr>
              <w:pBdr>
                <w:top w:val="nil"/>
                <w:left w:val="nil"/>
                <w:bottom w:val="nil"/>
                <w:right w:val="nil"/>
                <w:between w:val="nil"/>
              </w:pBdr>
              <w:spacing w:after="0" w:line="220" w:lineRule="auto"/>
              <w:jc w:val="center"/>
              <w:rPr>
                <w:color w:val="000000"/>
                <w:sz w:val="18"/>
                <w:szCs w:val="18"/>
              </w:rPr>
            </w:pPr>
            <w:r>
              <w:rPr>
                <w:color w:val="000000"/>
                <w:sz w:val="18"/>
                <w:szCs w:val="18"/>
              </w:rPr>
              <w:t>1261</w:t>
            </w:r>
          </w:p>
        </w:tc>
      </w:tr>
      <w:tr w:rsidR="00DC79AF" w14:paraId="76116FCB" w14:textId="77777777" w:rsidTr="00BE35D6">
        <w:trPr>
          <w:jc w:val="center"/>
        </w:trPr>
        <w:tc>
          <w:tcPr>
            <w:tcW w:w="1435" w:type="dxa"/>
            <w:vAlign w:val="center"/>
          </w:tcPr>
          <w:p w14:paraId="09373705" w14:textId="7FCD7D4F" w:rsidR="00DC79AF" w:rsidRDefault="00DC79AF" w:rsidP="002D1335">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=0 &amp; C</w:t>
            </w:r>
            <w:r w:rsidRPr="00DC79AF">
              <w:rPr>
                <w:color w:val="000000"/>
                <w:sz w:val="18"/>
                <w:szCs w:val="18"/>
                <w:vertAlign w:val="subscript"/>
              </w:rPr>
              <w:t>T</w:t>
            </w:r>
            <w:r>
              <w:rPr>
                <w:color w:val="000000"/>
                <w:sz w:val="18"/>
                <w:szCs w:val="18"/>
              </w:rPr>
              <w:t>=8</w:t>
            </w:r>
          </w:p>
        </w:tc>
        <w:tc>
          <w:tcPr>
            <w:tcW w:w="1581" w:type="dxa"/>
            <w:vAlign w:val="center"/>
          </w:tcPr>
          <w:p w14:paraId="26467470" w14:textId="5E81488F" w:rsidR="00DC79AF" w:rsidRDefault="007427FF" w:rsidP="002D1335">
            <w:pPr>
              <w:pBdr>
                <w:top w:val="nil"/>
                <w:left w:val="nil"/>
                <w:bottom w:val="nil"/>
                <w:right w:val="nil"/>
                <w:between w:val="nil"/>
              </w:pBdr>
              <w:spacing w:after="0" w:line="220" w:lineRule="auto"/>
              <w:jc w:val="center"/>
              <w:rPr>
                <w:color w:val="000000"/>
                <w:sz w:val="18"/>
                <w:szCs w:val="18"/>
              </w:rPr>
            </w:pPr>
            <w:r>
              <w:rPr>
                <w:color w:val="000000"/>
                <w:sz w:val="18"/>
                <w:szCs w:val="18"/>
              </w:rPr>
              <w:t>2044</w:t>
            </w:r>
          </w:p>
        </w:tc>
        <w:tc>
          <w:tcPr>
            <w:tcW w:w="1479" w:type="dxa"/>
            <w:vAlign w:val="center"/>
          </w:tcPr>
          <w:p w14:paraId="77EDBA4F" w14:textId="649465A2" w:rsidR="00DC79AF" w:rsidRDefault="00141CF3" w:rsidP="002D1335">
            <w:pPr>
              <w:pBdr>
                <w:top w:val="nil"/>
                <w:left w:val="nil"/>
                <w:bottom w:val="nil"/>
                <w:right w:val="nil"/>
                <w:between w:val="nil"/>
              </w:pBdr>
              <w:spacing w:after="0" w:line="220" w:lineRule="auto"/>
              <w:jc w:val="center"/>
              <w:rPr>
                <w:color w:val="000000"/>
                <w:sz w:val="18"/>
                <w:szCs w:val="18"/>
              </w:rPr>
            </w:pPr>
            <w:r>
              <w:rPr>
                <w:color w:val="000000"/>
                <w:sz w:val="18"/>
                <w:szCs w:val="18"/>
              </w:rPr>
              <w:t>1134</w:t>
            </w:r>
          </w:p>
        </w:tc>
      </w:tr>
    </w:tbl>
    <w:p w14:paraId="37A7A6F1" w14:textId="5EDA30EE" w:rsidR="000C67B8" w:rsidRDefault="00FA4285">
      <w:pPr>
        <w:pStyle w:val="Heading1"/>
      </w:pPr>
      <w:r>
        <w:t xml:space="preserve">Zone temperature dynamics in </w:t>
      </w:r>
      <w:r w:rsidR="00C92B4F">
        <w:t xml:space="preserve">a </w:t>
      </w:r>
      <w:r>
        <w:t>real building</w:t>
      </w:r>
    </w:p>
    <w:p w14:paraId="30EB382B" w14:textId="7EDF9953" w:rsidR="00752F58" w:rsidRPr="00A00520" w:rsidRDefault="00CA6D98" w:rsidP="00752F58">
      <w:r>
        <w:t>I</w:t>
      </w:r>
      <w:r w:rsidRPr="00CA6D98">
        <w:t xml:space="preserve">n this section, </w:t>
      </w:r>
      <w:r w:rsidR="00BB7662">
        <w:t>we hope</w:t>
      </w:r>
      <w:r w:rsidR="00BB7662" w:rsidRPr="00CA6D98">
        <w:t xml:space="preserve"> to establish an intuition for the reader</w:t>
      </w:r>
      <w:r w:rsidR="00C23718">
        <w:t>s</w:t>
      </w:r>
      <w:r w:rsidR="00BB7662" w:rsidRPr="00CA6D98">
        <w:t xml:space="preserve"> about the effect of the </w:t>
      </w:r>
      <w:r w:rsidR="00BB7662">
        <w:t>internal</w:t>
      </w:r>
      <w:r w:rsidR="00BB7662" w:rsidRPr="00CA6D98">
        <w:t xml:space="preserve"> mass </w:t>
      </w:r>
      <w:r w:rsidR="00C92B4F">
        <w:t xml:space="preserve">on zone dynamics </w:t>
      </w:r>
      <w:r w:rsidR="00BB7662" w:rsidRPr="00CA6D98">
        <w:t xml:space="preserve">by observing the dynamics of the </w:t>
      </w:r>
      <w:r w:rsidR="00BB7662">
        <w:t>zone air temperature</w:t>
      </w:r>
      <w:r w:rsidR="001A3785">
        <w:t xml:space="preserve"> </w:t>
      </w:r>
      <w:r w:rsidR="00C23718">
        <w:t>in real buildings</w:t>
      </w:r>
      <w:r w:rsidR="00BB7662" w:rsidRPr="00CA6D98">
        <w:t>.</w:t>
      </w:r>
      <w:r w:rsidRPr="00CA6D98">
        <w:t xml:space="preserve"> </w:t>
      </w:r>
      <w:r w:rsidR="002F0C95">
        <w:t>Our data are HVAC system operational data, which contain measurements for HVAC system control, such as zone air temperature/humidity, supply air temperature/humidity/air flow rate, etc.</w:t>
      </w:r>
      <w:r w:rsidRPr="00CA6D98">
        <w:t xml:space="preserve"> </w:t>
      </w:r>
      <w:r w:rsidR="002F0C95">
        <w:t>S</w:t>
      </w:r>
      <w:r w:rsidRPr="00CA6D98">
        <w:t xml:space="preserve">ome details </w:t>
      </w:r>
      <w:r w:rsidR="002F0C95">
        <w:t xml:space="preserve">about the building zone </w:t>
      </w:r>
      <w:r w:rsidRPr="00CA6D98">
        <w:t xml:space="preserve">such as building </w:t>
      </w:r>
      <w:r w:rsidR="002F0C95">
        <w:t>construction materials</w:t>
      </w:r>
      <w:r w:rsidRPr="00CA6D98">
        <w:t xml:space="preserve">, </w:t>
      </w:r>
      <w:r w:rsidR="007F175C">
        <w:t xml:space="preserve">surface </w:t>
      </w:r>
      <w:r w:rsidRPr="00CA6D98">
        <w:t xml:space="preserve">temperature, </w:t>
      </w:r>
      <w:r w:rsidR="007F175C">
        <w:t>floor area,</w:t>
      </w:r>
      <w:r w:rsidR="00B01FDE">
        <w:t xml:space="preserve"> internal load schedule,</w:t>
      </w:r>
      <w:r w:rsidR="007F175C">
        <w:t xml:space="preserve"> </w:t>
      </w:r>
      <w:r w:rsidRPr="00CA6D98">
        <w:t>etc.</w:t>
      </w:r>
      <w:r w:rsidR="002F0C95">
        <w:t xml:space="preserve">, are not included. Due to the limited nature of the data, </w:t>
      </w:r>
      <w:r w:rsidR="008F6CAD" w:rsidRPr="008F6CAD">
        <w:t>we will observe from a macro perspective</w:t>
      </w:r>
      <w:r w:rsidR="008F6CAD">
        <w:t xml:space="preserve"> and try to </w:t>
      </w:r>
      <w:r w:rsidR="00A00520">
        <w:t>comprehend</w:t>
      </w:r>
      <w:r w:rsidR="008F6CAD">
        <w:t xml:space="preserve"> </w:t>
      </w:r>
      <w:r w:rsidR="00A00520">
        <w:t xml:space="preserve">the </w:t>
      </w:r>
      <w:r w:rsidR="00E50A93">
        <w:t xml:space="preserve">rate of </w:t>
      </w:r>
      <w:r w:rsidR="00A00520">
        <w:t xml:space="preserve">zone temperature variation in typical buildings. For this purpose, we mainly focus on the magnitude of the zone temperature rise in the first </w:t>
      </w:r>
      <w:r w:rsidR="0096311B">
        <w:t>10</w:t>
      </w:r>
      <w:r w:rsidR="00A00520">
        <w:t xml:space="preserve"> minutes when the HVAC system is shut down. </w:t>
      </w:r>
    </w:p>
    <w:p w14:paraId="60BE92B2" w14:textId="28216D52" w:rsidR="00E34A8F" w:rsidRPr="00C23718" w:rsidRDefault="00057435" w:rsidP="002B06A3">
      <w:pPr>
        <w:rPr>
          <w:color w:val="000000"/>
          <w:lang w:eastAsia="zh-CN"/>
        </w:rPr>
      </w:pPr>
      <w:r w:rsidRPr="00057435">
        <w:rPr>
          <w:color w:val="000000"/>
        </w:rPr>
        <w:t xml:space="preserve">The real building data comes from two </w:t>
      </w:r>
      <w:r w:rsidR="00E73E13">
        <w:rPr>
          <w:color w:val="000000"/>
        </w:rPr>
        <w:t>sources</w:t>
      </w:r>
      <w:r w:rsidRPr="00057435">
        <w:rPr>
          <w:color w:val="000000"/>
        </w:rPr>
        <w:t xml:space="preserve">. One is </w:t>
      </w:r>
      <w:r>
        <w:rPr>
          <w:rFonts w:hint="eastAsia"/>
          <w:color w:val="000000"/>
          <w:lang w:eastAsia="zh-CN"/>
        </w:rPr>
        <w:t>the</w:t>
      </w:r>
      <w:r>
        <w:rPr>
          <w:color w:val="000000"/>
        </w:rPr>
        <w:t xml:space="preserve"> </w:t>
      </w:r>
      <w:r w:rsidR="00E73E13">
        <w:rPr>
          <w:color w:val="000000"/>
        </w:rPr>
        <w:t xml:space="preserve">summer HVAC operational data </w:t>
      </w:r>
      <w:r w:rsidR="00D471B9">
        <w:rPr>
          <w:color w:val="000000"/>
        </w:rPr>
        <w:fldChar w:fldCharType="begin"/>
      </w:r>
      <w:r w:rsidR="00D471B9">
        <w:rPr>
          <w:color w:val="000000"/>
        </w:rPr>
        <w:instrText xml:space="preserve"> ADDIN EN.CITE &lt;EndNote&gt;&lt;Cite&gt;&lt;Author&gt;Wen&lt;/Author&gt;&lt;Year&gt;2011&lt;/Year&gt;&lt;RecNum&gt;238&lt;/RecNum&gt;&lt;DisplayText&gt;(Wen &amp;amp; Li, 2011)&lt;/DisplayText&gt;&lt;record&gt;&lt;rec-number&gt;238&lt;/rec-number&gt;&lt;foreign-keys&gt;&lt;key app="EN" db-id="e2epp5xvs9p5skexse7xssf5tpsprs5zep5d" timestamp="1644272850"&gt;238&lt;/key&gt;&lt;/foreign-keys&gt;&lt;ref-type name="Journal Article"&gt;17&lt;/ref-type&gt;&lt;contributors&gt;&lt;authors&gt;&lt;author&gt;Wen, J&lt;/author&gt;&lt;author&gt;Li, S&lt;/author&gt;&lt;/authors&gt;&lt;/contributors&gt;&lt;titles&gt;&lt;title&gt;Tools for evaluating fault detection and diagnostic methods for air-handling units&lt;/title&gt;&lt;secondary-title&gt;ASHRAE RP-1312 Final Report, ASHRAE, Atlanta&lt;/secondary-title&gt;&lt;/titles&gt;&lt;periodical&gt;&lt;full-title&gt;ASHRAE RP-1312 Final Report, ASHRAE, Atlanta&lt;/full-title&gt;&lt;/periodical&gt;&lt;dates&gt;&lt;year&gt;2011&lt;/year&gt;&lt;/dates&gt;&lt;urls&gt;&lt;/urls&gt;&lt;/record&gt;&lt;/Cite&gt;&lt;/EndNote&gt;</w:instrText>
      </w:r>
      <w:r w:rsidR="00D471B9">
        <w:rPr>
          <w:color w:val="000000"/>
        </w:rPr>
        <w:fldChar w:fldCharType="separate"/>
      </w:r>
      <w:r w:rsidR="00D471B9">
        <w:rPr>
          <w:noProof/>
          <w:color w:val="000000"/>
        </w:rPr>
        <w:t>(Wen &amp; Li, 2011)</w:t>
      </w:r>
      <w:r w:rsidR="00D471B9">
        <w:rPr>
          <w:color w:val="000000"/>
        </w:rPr>
        <w:fldChar w:fldCharType="end"/>
      </w:r>
      <w:r w:rsidR="00D471B9">
        <w:rPr>
          <w:color w:val="000000"/>
        </w:rPr>
        <w:t xml:space="preserve"> </w:t>
      </w:r>
      <w:r w:rsidR="00E73E13">
        <w:rPr>
          <w:color w:val="000000"/>
        </w:rPr>
        <w:t xml:space="preserve">from </w:t>
      </w:r>
      <w:r w:rsidR="006568A9">
        <w:rPr>
          <w:color w:val="000000"/>
        </w:rPr>
        <w:t xml:space="preserve">a south facing room at the </w:t>
      </w:r>
      <w:r w:rsidR="001E7C98" w:rsidRPr="001E7C98">
        <w:rPr>
          <w:color w:val="000000"/>
        </w:rPr>
        <w:t xml:space="preserve">Iowa Energy Center </w:t>
      </w:r>
      <w:r w:rsidRPr="00057435">
        <w:rPr>
          <w:color w:val="000000"/>
        </w:rPr>
        <w:t>Energy Resource Station</w:t>
      </w:r>
      <w:r w:rsidR="00CE66E7">
        <w:rPr>
          <w:color w:val="000000"/>
        </w:rPr>
        <w:t xml:space="preserve"> (ERS)</w:t>
      </w:r>
      <w:r w:rsidR="00E73E13">
        <w:rPr>
          <w:color w:val="000000"/>
        </w:rPr>
        <w:t>. This building</w:t>
      </w:r>
      <w:r w:rsidRPr="00057435">
        <w:rPr>
          <w:color w:val="000000"/>
        </w:rPr>
        <w:t xml:space="preserve"> represents a small office building. The </w:t>
      </w:r>
      <w:r w:rsidR="006568A9">
        <w:rPr>
          <w:color w:val="000000"/>
        </w:rPr>
        <w:t>zone is an empty zone</w:t>
      </w:r>
      <w:r>
        <w:rPr>
          <w:color w:val="000000"/>
        </w:rPr>
        <w:t xml:space="preserve"> </w:t>
      </w:r>
      <w:r w:rsidR="006568A9">
        <w:rPr>
          <w:color w:val="000000"/>
        </w:rPr>
        <w:t>with no</w:t>
      </w:r>
      <w:r w:rsidRPr="00057435">
        <w:rPr>
          <w:color w:val="000000"/>
        </w:rPr>
        <w:t xml:space="preserve"> internal mass. The other </w:t>
      </w:r>
      <w:r w:rsidR="00C23718">
        <w:rPr>
          <w:color w:val="000000"/>
        </w:rPr>
        <w:t xml:space="preserve">data source </w:t>
      </w:r>
      <w:r w:rsidR="00E73E13">
        <w:rPr>
          <w:color w:val="000000"/>
        </w:rPr>
        <w:t xml:space="preserve">is summer HVAC operational data </w:t>
      </w:r>
      <w:r w:rsidR="00323D58">
        <w:rPr>
          <w:color w:val="000000"/>
        </w:rPr>
        <w:fldChar w:fldCharType="begin"/>
      </w:r>
      <w:r w:rsidR="00323D58">
        <w:rPr>
          <w:color w:val="000000"/>
        </w:rPr>
        <w:instrText xml:space="preserve"> ADDIN EN.CITE &lt;EndNote&gt;&lt;Cite&gt;&lt;Author&gt;Chen&lt;/Author&gt;&lt;Year&gt;2019&lt;/Year&gt;&lt;RecNum&gt;239&lt;/RecNum&gt;&lt;DisplayText&gt;(Chen, 2019)&lt;/DisplayText&gt;&lt;record&gt;&lt;rec-number&gt;239&lt;/rec-number&gt;&lt;foreign-keys&gt;&lt;key app="EN" db-id="e2epp5xvs9p5skexse7xssf5tpsprs5zep5d" timestamp="1644273150"&gt;239&lt;/key&gt;&lt;/foreign-keys&gt;&lt;ref-type name="Book"&gt;6&lt;/ref-type&gt;&lt;contributors&gt;&lt;authors&gt;&lt;author&gt;Chen, Yimin&lt;/author&gt;&lt;/authors&gt;&lt;/contributors&gt;&lt;titles&gt;&lt;title&gt;Data-driven Whole Building Fault Detection and Diagnosis&lt;/title&gt;&lt;/titles&gt;&lt;dates&gt;&lt;year&gt;2019&lt;/year&gt;&lt;/dates&gt;&lt;publisher&gt;Drexel University&lt;/publisher&gt;&lt;isbn&gt;1085590534&lt;/isbn&gt;&lt;urls&gt;&lt;/urls&gt;&lt;/record&gt;&lt;/Cite&gt;&lt;/EndNote&gt;</w:instrText>
      </w:r>
      <w:r w:rsidR="00323D58">
        <w:rPr>
          <w:color w:val="000000"/>
        </w:rPr>
        <w:fldChar w:fldCharType="separate"/>
      </w:r>
      <w:r w:rsidR="00323D58">
        <w:rPr>
          <w:noProof/>
          <w:color w:val="000000"/>
        </w:rPr>
        <w:t>(Chen, 2019)</w:t>
      </w:r>
      <w:r w:rsidR="00323D58">
        <w:rPr>
          <w:color w:val="000000"/>
        </w:rPr>
        <w:fldChar w:fldCharType="end"/>
      </w:r>
      <w:r w:rsidR="00323D58">
        <w:rPr>
          <w:color w:val="000000"/>
        </w:rPr>
        <w:t xml:space="preserve"> </w:t>
      </w:r>
      <w:r w:rsidR="00E73E13">
        <w:rPr>
          <w:color w:val="000000"/>
        </w:rPr>
        <w:t>from</w:t>
      </w:r>
      <w:r w:rsidRPr="00057435">
        <w:rPr>
          <w:color w:val="000000"/>
        </w:rPr>
        <w:t xml:space="preserve"> Nesbitt Hall at Drexel University</w:t>
      </w:r>
      <w:r w:rsidR="007B246E">
        <w:rPr>
          <w:color w:val="000000"/>
        </w:rPr>
        <w:t>. This building</w:t>
      </w:r>
      <w:r w:rsidRPr="00057435">
        <w:rPr>
          <w:color w:val="000000"/>
        </w:rPr>
        <w:t xml:space="preserve"> represents </w:t>
      </w:r>
      <w:r w:rsidR="00C92B4F">
        <w:rPr>
          <w:color w:val="000000"/>
        </w:rPr>
        <w:t xml:space="preserve">a </w:t>
      </w:r>
      <w:r w:rsidR="007C0611">
        <w:rPr>
          <w:color w:val="000000"/>
        </w:rPr>
        <w:t xml:space="preserve">typical </w:t>
      </w:r>
      <w:r w:rsidRPr="00057435">
        <w:rPr>
          <w:color w:val="000000"/>
        </w:rPr>
        <w:t xml:space="preserve">medium-sized </w:t>
      </w:r>
      <w:r w:rsidR="007B246E">
        <w:rPr>
          <w:color w:val="000000"/>
        </w:rPr>
        <w:t xml:space="preserve">campus </w:t>
      </w:r>
      <w:r w:rsidRPr="00057435">
        <w:rPr>
          <w:color w:val="000000"/>
        </w:rPr>
        <w:t>office building</w:t>
      </w:r>
      <w:r w:rsidR="007B246E">
        <w:rPr>
          <w:color w:val="000000"/>
        </w:rPr>
        <w:t xml:space="preserve"> </w:t>
      </w:r>
      <w:r>
        <w:rPr>
          <w:color w:val="000000"/>
        </w:rPr>
        <w:t>consist</w:t>
      </w:r>
      <w:r w:rsidR="00C92B4F">
        <w:rPr>
          <w:color w:val="000000"/>
        </w:rPr>
        <w:t>ing</w:t>
      </w:r>
      <w:r>
        <w:rPr>
          <w:color w:val="000000"/>
        </w:rPr>
        <w:t xml:space="preserve"> of</w:t>
      </w:r>
      <w:r w:rsidRPr="00057435">
        <w:rPr>
          <w:color w:val="000000"/>
        </w:rPr>
        <w:t xml:space="preserve"> classrooms, conference rooms, offices, and laboratories. </w:t>
      </w:r>
      <w:r w:rsidR="006568A9">
        <w:rPr>
          <w:color w:val="000000"/>
        </w:rPr>
        <w:t xml:space="preserve">The data only comes with labels at </w:t>
      </w:r>
      <w:r w:rsidR="00C92B4F">
        <w:rPr>
          <w:color w:val="000000"/>
        </w:rPr>
        <w:t xml:space="preserve">the </w:t>
      </w:r>
      <w:r w:rsidR="006568A9">
        <w:rPr>
          <w:color w:val="000000"/>
        </w:rPr>
        <w:t xml:space="preserve">system level, </w:t>
      </w:r>
      <w:r w:rsidR="00A257AD">
        <w:rPr>
          <w:color w:val="000000"/>
        </w:rPr>
        <w:t xml:space="preserve">and </w:t>
      </w:r>
      <w:r w:rsidR="006568A9">
        <w:rPr>
          <w:color w:val="000000"/>
        </w:rPr>
        <w:t xml:space="preserve">therefore </w:t>
      </w:r>
      <w:r w:rsidR="00C23718">
        <w:rPr>
          <w:color w:val="000000"/>
        </w:rPr>
        <w:t xml:space="preserve">the correspondence between data points and zones </w:t>
      </w:r>
      <w:r w:rsidR="00D00AE5">
        <w:rPr>
          <w:color w:val="000000"/>
        </w:rPr>
        <w:t>is</w:t>
      </w:r>
      <w:r w:rsidR="00C23718">
        <w:rPr>
          <w:color w:val="000000"/>
        </w:rPr>
        <w:t xml:space="preserve"> unknown. </w:t>
      </w:r>
      <w:r w:rsidR="00C23718">
        <w:rPr>
          <w:color w:val="000000"/>
          <w:lang w:eastAsia="zh-CN"/>
        </w:rPr>
        <w:t>It is only known that most of the zones are perimeter zones.</w:t>
      </w:r>
    </w:p>
    <w:p w14:paraId="2E53DC3E" w14:textId="73DC9BBD" w:rsidR="008138A7" w:rsidRDefault="0096311B" w:rsidP="002B06A3">
      <w:r>
        <w:rPr>
          <w:color w:val="000000"/>
        </w:rPr>
        <w:fldChar w:fldCharType="begin"/>
      </w:r>
      <w:r>
        <w:rPr>
          <w:color w:val="000000"/>
        </w:rPr>
        <w:instrText xml:space="preserve"> REF _Ref93790499 \h </w:instrText>
      </w:r>
      <w:r>
        <w:rPr>
          <w:color w:val="000000"/>
        </w:rPr>
      </w:r>
      <w:r>
        <w:rPr>
          <w:color w:val="000000"/>
        </w:rPr>
        <w:fldChar w:fldCharType="separate"/>
      </w:r>
      <w:r w:rsidR="00D5179F">
        <w:t xml:space="preserve">Table </w:t>
      </w:r>
      <w:r w:rsidR="00D5179F">
        <w:rPr>
          <w:noProof/>
        </w:rPr>
        <w:t>5</w:t>
      </w:r>
      <w:r>
        <w:rPr>
          <w:color w:val="000000"/>
        </w:rPr>
        <w:fldChar w:fldCharType="end"/>
      </w:r>
      <w:r>
        <w:rPr>
          <w:color w:val="000000"/>
        </w:rPr>
        <w:t xml:space="preserve"> summarizes the zone temperature rise</w:t>
      </w:r>
      <w:r w:rsidR="00A257AD">
        <w:rPr>
          <w:color w:val="000000"/>
        </w:rPr>
        <w:t>,</w:t>
      </w:r>
      <w:r>
        <w:rPr>
          <w:color w:val="000000"/>
        </w:rPr>
        <w:t xml:space="preserve"> </w:t>
      </w:r>
      <w:proofErr w:type="spellStart"/>
      <w:r w:rsidR="00A257AD">
        <w:rPr>
          <w:color w:val="000000"/>
        </w:rPr>
        <w:t>T</w:t>
      </w:r>
      <w:r w:rsidR="00A257AD" w:rsidRPr="00A653B7">
        <w:rPr>
          <w:color w:val="000000"/>
          <w:vertAlign w:val="subscript"/>
        </w:rPr>
        <w:t>rise</w:t>
      </w:r>
      <w:proofErr w:type="spellEnd"/>
      <w:r w:rsidR="00A257AD">
        <w:rPr>
          <w:color w:val="000000"/>
        </w:rPr>
        <w:t xml:space="preserve">, </w:t>
      </w:r>
      <w:r>
        <w:rPr>
          <w:color w:val="000000"/>
        </w:rPr>
        <w:t>10 minutes after HVAC system shutdown</w:t>
      </w:r>
      <w:r w:rsidR="00A257AD">
        <w:rPr>
          <w:color w:val="000000"/>
        </w:rPr>
        <w:t>.</w:t>
      </w:r>
      <w:r>
        <w:rPr>
          <w:color w:val="000000"/>
        </w:rPr>
        <w:t xml:space="preserve"> </w:t>
      </w:r>
      <w:r w:rsidR="00C23718">
        <w:rPr>
          <w:color w:val="000000"/>
        </w:rPr>
        <w:t>Both</w:t>
      </w:r>
      <w:r>
        <w:rPr>
          <w:color w:val="000000"/>
        </w:rPr>
        <w:t xml:space="preserve"> real building data and simulation data</w:t>
      </w:r>
      <w:r w:rsidR="00C23718">
        <w:rPr>
          <w:color w:val="000000"/>
        </w:rPr>
        <w:t xml:space="preserve"> are presented</w:t>
      </w:r>
      <w:r w:rsidR="00A257AD">
        <w:rPr>
          <w:color w:val="000000"/>
        </w:rPr>
        <w:t>. In the table,</w:t>
      </w:r>
      <w:r>
        <w:rPr>
          <w:color w:val="000000"/>
        </w:rPr>
        <w:t xml:space="preserve"> </w:t>
      </w:r>
      <w:proofErr w:type="spellStart"/>
      <w:r>
        <w:rPr>
          <w:color w:val="000000"/>
        </w:rPr>
        <w:t>Q</w:t>
      </w:r>
      <w:r w:rsidRPr="00A653B7">
        <w:rPr>
          <w:color w:val="000000"/>
          <w:vertAlign w:val="subscript"/>
        </w:rPr>
        <w:t>sen</w:t>
      </w:r>
      <w:proofErr w:type="spellEnd"/>
      <w:r>
        <w:rPr>
          <w:color w:val="000000"/>
        </w:rPr>
        <w:t xml:space="preserve"> is the zone sensible cooling load right before system shutdown</w:t>
      </w:r>
      <w:r w:rsidR="00A257AD">
        <w:rPr>
          <w:color w:val="000000"/>
        </w:rPr>
        <w:t>.</w:t>
      </w:r>
      <w:r>
        <w:rPr>
          <w:color w:val="000000"/>
        </w:rPr>
        <w:t xml:space="preserve"> </w:t>
      </w:r>
      <w:r w:rsidR="00A257AD">
        <w:rPr>
          <w:color w:val="000000"/>
        </w:rPr>
        <w:t>For</w:t>
      </w:r>
      <w:r w:rsidR="00C92B4F">
        <w:rPr>
          <w:color w:val="000000"/>
        </w:rPr>
        <w:t xml:space="preserve"> the</w:t>
      </w:r>
      <w:r w:rsidR="00A257AD">
        <w:rPr>
          <w:color w:val="000000"/>
        </w:rPr>
        <w:t xml:space="preserve"> real building, </w:t>
      </w:r>
      <w:r w:rsidR="00A257AD">
        <w:t>t</w:t>
      </w:r>
      <w:r w:rsidRPr="008138A7">
        <w:t xml:space="preserve">he </w:t>
      </w:r>
      <w:r>
        <w:t>sensible</w:t>
      </w:r>
      <w:r w:rsidRPr="008138A7">
        <w:t xml:space="preserve"> load is </w:t>
      </w:r>
      <w:r w:rsidR="00A257AD">
        <w:t>calculated</w:t>
      </w:r>
      <w:r w:rsidRPr="008138A7">
        <w:t xml:space="preserve"> by comparing the </w:t>
      </w:r>
      <w:r>
        <w:t>zone inlet and out</w:t>
      </w:r>
      <w:r w:rsidR="00C23718">
        <w:t>let</w:t>
      </w:r>
      <w:r>
        <w:t xml:space="preserve"> air conditions</w:t>
      </w:r>
      <w:r>
        <w:rPr>
          <w:color w:val="000000"/>
        </w:rPr>
        <w:t xml:space="preserve">. </w:t>
      </w:r>
      <w:r w:rsidR="00B626BE">
        <w:rPr>
          <w:color w:val="000000"/>
        </w:rPr>
        <w:t>Notice again that this is not an apple</w:t>
      </w:r>
      <w:r w:rsidR="00C76735">
        <w:rPr>
          <w:color w:val="000000"/>
        </w:rPr>
        <w:t>s</w:t>
      </w:r>
      <w:r w:rsidR="00B626BE">
        <w:rPr>
          <w:color w:val="000000"/>
        </w:rPr>
        <w:t>-to-apple</w:t>
      </w:r>
      <w:r w:rsidR="00C76735">
        <w:rPr>
          <w:color w:val="000000"/>
        </w:rPr>
        <w:t>s</w:t>
      </w:r>
      <w:r w:rsidR="00B626BE">
        <w:rPr>
          <w:color w:val="000000"/>
        </w:rPr>
        <w:t xml:space="preserve"> comparison since differences among buildings are not known. </w:t>
      </w:r>
      <w:r w:rsidR="007B246E">
        <w:rPr>
          <w:color w:val="000000"/>
        </w:rPr>
        <w:t xml:space="preserve">The floor area and the sensible cooling load are only provided as a reference and there is no </w:t>
      </w:r>
      <w:r w:rsidR="00E73E13">
        <w:rPr>
          <w:color w:val="000000"/>
        </w:rPr>
        <w:t xml:space="preserve">proportional </w:t>
      </w:r>
      <w:r w:rsidR="007B246E">
        <w:rPr>
          <w:color w:val="000000"/>
        </w:rPr>
        <w:t>relationship between them and the temperature rise</w:t>
      </w:r>
      <w:r w:rsidR="00E73E13">
        <w:rPr>
          <w:color w:val="000000"/>
        </w:rPr>
        <w:t xml:space="preserve">. </w:t>
      </w:r>
      <w:r w:rsidR="002B06A3">
        <w:t xml:space="preserve">The simulation data </w:t>
      </w:r>
      <w:r w:rsidR="007B246E">
        <w:t xml:space="preserve">in the table </w:t>
      </w:r>
      <w:r>
        <w:t>is</w:t>
      </w:r>
      <w:r w:rsidR="002B06A3">
        <w:t xml:space="preserve"> generated using</w:t>
      </w:r>
      <w:r>
        <w:t xml:space="preserve"> Perimeter_ZN_1</w:t>
      </w:r>
      <w:r w:rsidR="002B06A3">
        <w:t xml:space="preserve"> in the same small office </w:t>
      </w:r>
      <w:r w:rsidR="00A653B7">
        <w:t xml:space="preserve">model </w:t>
      </w:r>
      <w:r w:rsidR="002B06A3">
        <w:t xml:space="preserve">as shown in </w:t>
      </w:r>
      <w:r w:rsidR="00751825">
        <w:fldChar w:fldCharType="begin"/>
      </w:r>
      <w:r w:rsidR="00751825">
        <w:instrText xml:space="preserve"> REF _Ref93658994 \h </w:instrText>
      </w:r>
      <w:r w:rsidR="00751825">
        <w:fldChar w:fldCharType="separate"/>
      </w:r>
      <w:r w:rsidR="00D5179F">
        <w:t xml:space="preserve">Figure </w:t>
      </w:r>
      <w:r w:rsidR="00D5179F">
        <w:rPr>
          <w:noProof/>
        </w:rPr>
        <w:t>1</w:t>
      </w:r>
      <w:r w:rsidR="00751825">
        <w:fldChar w:fldCharType="end"/>
      </w:r>
      <w:r w:rsidR="00751825">
        <w:t xml:space="preserve">. </w:t>
      </w:r>
      <w:r w:rsidR="006437E3">
        <w:t>All zones are served by ideal loads system</w:t>
      </w:r>
      <w:r w:rsidR="00A653B7">
        <w:t>s</w:t>
      </w:r>
      <w:r w:rsidR="006437E3">
        <w:t xml:space="preserve">, and </w:t>
      </w:r>
      <w:r w:rsidR="006437E3">
        <w:lastRenderedPageBreak/>
        <w:t xml:space="preserve">they are shut down at 19:00. </w:t>
      </w:r>
      <w:r>
        <w:t xml:space="preserve">The data </w:t>
      </w:r>
      <w:r w:rsidR="00C92B4F">
        <w:t xml:space="preserve">corresponds </w:t>
      </w:r>
      <w:r>
        <w:t xml:space="preserve">to </w:t>
      </w:r>
      <w:r w:rsidR="00C23718">
        <w:t>a</w:t>
      </w:r>
      <w:r>
        <w:t xml:space="preserve"> summer day (July 6</w:t>
      </w:r>
      <w:r w:rsidRPr="00DC79AF">
        <w:rPr>
          <w:vertAlign w:val="superscript"/>
        </w:rPr>
        <w:t>th</w:t>
      </w:r>
      <w:r>
        <w:t xml:space="preserve">) </w:t>
      </w:r>
      <w:r w:rsidR="00C92B4F">
        <w:t xml:space="preserve">in </w:t>
      </w:r>
      <w:r>
        <w:t>Atlanta, GA, USA.</w:t>
      </w:r>
      <w:r w:rsidR="006437E3">
        <w:t xml:space="preserve"> </w:t>
      </w:r>
    </w:p>
    <w:p w14:paraId="59E4862B" w14:textId="156F1B0F" w:rsidR="00A95657" w:rsidRDefault="00A95657" w:rsidP="00A95657">
      <w:pPr>
        <w:pStyle w:val="Caption"/>
      </w:pPr>
      <w:bookmarkStart w:id="13" w:name="_Ref93790499"/>
      <w:bookmarkStart w:id="14" w:name="_Ref93790496"/>
      <w:r>
        <w:t xml:space="preserve">Table </w:t>
      </w:r>
      <w:r w:rsidR="00190A02">
        <w:fldChar w:fldCharType="begin"/>
      </w:r>
      <w:r w:rsidR="00190A02">
        <w:instrText xml:space="preserve"> SEQ Table \* ARABIC </w:instrText>
      </w:r>
      <w:r w:rsidR="00190A02">
        <w:fldChar w:fldCharType="separate"/>
      </w:r>
      <w:r w:rsidR="00D5179F">
        <w:rPr>
          <w:noProof/>
        </w:rPr>
        <w:t>5</w:t>
      </w:r>
      <w:r w:rsidR="00190A02">
        <w:rPr>
          <w:noProof/>
        </w:rPr>
        <w:fldChar w:fldCharType="end"/>
      </w:r>
      <w:bookmarkEnd w:id="13"/>
      <w:r>
        <w:t xml:space="preserve"> Zone temperature rise </w:t>
      </w:r>
      <w:r w:rsidR="0096311B">
        <w:t>10</w:t>
      </w:r>
      <w:r>
        <w:t xml:space="preserve"> minutes after HVAC system shutdown</w:t>
      </w:r>
      <w:bookmarkEnd w:id="14"/>
    </w:p>
    <w:tbl>
      <w:tblPr>
        <w:tblStyle w:val="a"/>
        <w:tblW w:w="4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5"/>
        <w:gridCol w:w="1170"/>
        <w:gridCol w:w="900"/>
        <w:gridCol w:w="720"/>
        <w:gridCol w:w="820"/>
      </w:tblGrid>
      <w:tr w:rsidR="00803815" w14:paraId="47F8FD60" w14:textId="77777777" w:rsidTr="00DC5675">
        <w:tc>
          <w:tcPr>
            <w:tcW w:w="1165" w:type="dxa"/>
            <w:vAlign w:val="center"/>
          </w:tcPr>
          <w:p w14:paraId="2C7C92D3" w14:textId="7565FB4C" w:rsidR="00803815" w:rsidRDefault="00CA1ADD" w:rsidP="00A95657">
            <w:pPr>
              <w:pBdr>
                <w:top w:val="nil"/>
                <w:left w:val="nil"/>
                <w:bottom w:val="nil"/>
                <w:right w:val="nil"/>
                <w:between w:val="nil"/>
              </w:pBdr>
              <w:spacing w:after="0" w:line="220" w:lineRule="auto"/>
              <w:jc w:val="center"/>
              <w:rPr>
                <w:b/>
                <w:smallCaps/>
                <w:color w:val="000000"/>
                <w:sz w:val="18"/>
                <w:szCs w:val="18"/>
              </w:rPr>
            </w:pPr>
            <w:r>
              <w:rPr>
                <w:b/>
                <w:color w:val="000000"/>
                <w:sz w:val="18"/>
                <w:szCs w:val="18"/>
              </w:rPr>
              <w:t>Building</w:t>
            </w:r>
          </w:p>
        </w:tc>
        <w:tc>
          <w:tcPr>
            <w:tcW w:w="1170" w:type="dxa"/>
            <w:vAlign w:val="center"/>
          </w:tcPr>
          <w:p w14:paraId="3F194FA5" w14:textId="6168C21F" w:rsidR="00803815" w:rsidRDefault="0096311B" w:rsidP="00A95657">
            <w:pPr>
              <w:pBdr>
                <w:top w:val="nil"/>
                <w:left w:val="nil"/>
                <w:bottom w:val="nil"/>
                <w:right w:val="nil"/>
                <w:between w:val="nil"/>
              </w:pBdr>
              <w:spacing w:after="0" w:line="220" w:lineRule="auto"/>
              <w:jc w:val="center"/>
              <w:rPr>
                <w:b/>
                <w:color w:val="000000"/>
                <w:sz w:val="18"/>
                <w:szCs w:val="18"/>
              </w:rPr>
            </w:pPr>
            <w:r>
              <w:rPr>
                <w:b/>
                <w:color w:val="000000"/>
                <w:sz w:val="18"/>
                <w:szCs w:val="18"/>
              </w:rPr>
              <w:t xml:space="preserve">Internal </w:t>
            </w:r>
            <w:r w:rsidR="00A257AD">
              <w:rPr>
                <w:b/>
                <w:color w:val="000000"/>
                <w:sz w:val="18"/>
                <w:szCs w:val="18"/>
              </w:rPr>
              <w:t>m</w:t>
            </w:r>
            <w:r w:rsidR="00803815">
              <w:rPr>
                <w:b/>
                <w:color w:val="000000"/>
                <w:sz w:val="18"/>
                <w:szCs w:val="18"/>
              </w:rPr>
              <w:t xml:space="preserve">ass </w:t>
            </w:r>
            <w:r w:rsidR="00A257AD">
              <w:rPr>
                <w:b/>
                <w:color w:val="000000"/>
                <w:sz w:val="18"/>
                <w:szCs w:val="18"/>
              </w:rPr>
              <w:t>l</w:t>
            </w:r>
            <w:r w:rsidR="00803815">
              <w:rPr>
                <w:b/>
                <w:color w:val="000000"/>
                <w:sz w:val="18"/>
                <w:szCs w:val="18"/>
              </w:rPr>
              <w:t>evel</w:t>
            </w:r>
          </w:p>
        </w:tc>
        <w:tc>
          <w:tcPr>
            <w:tcW w:w="900" w:type="dxa"/>
            <w:vAlign w:val="center"/>
          </w:tcPr>
          <w:p w14:paraId="77AE97C9" w14:textId="3687FC46" w:rsidR="00803815" w:rsidRDefault="00803815" w:rsidP="00A95657">
            <w:pPr>
              <w:pBdr>
                <w:top w:val="nil"/>
                <w:left w:val="nil"/>
                <w:bottom w:val="nil"/>
                <w:right w:val="nil"/>
                <w:between w:val="nil"/>
              </w:pBdr>
              <w:spacing w:after="0" w:line="220" w:lineRule="auto"/>
              <w:jc w:val="center"/>
              <w:rPr>
                <w:b/>
                <w:color w:val="000000"/>
                <w:sz w:val="18"/>
                <w:szCs w:val="18"/>
              </w:rPr>
            </w:pPr>
            <w:r>
              <w:rPr>
                <w:b/>
                <w:color w:val="000000"/>
                <w:sz w:val="18"/>
                <w:szCs w:val="18"/>
              </w:rPr>
              <w:t>Fl</w:t>
            </w:r>
            <w:r w:rsidR="0096311B">
              <w:rPr>
                <w:b/>
                <w:color w:val="000000"/>
                <w:sz w:val="18"/>
                <w:szCs w:val="18"/>
              </w:rPr>
              <w:t>oo</w:t>
            </w:r>
            <w:r>
              <w:rPr>
                <w:b/>
                <w:color w:val="000000"/>
                <w:sz w:val="18"/>
                <w:szCs w:val="18"/>
              </w:rPr>
              <w:t>r</w:t>
            </w:r>
            <w:r w:rsidR="0096311B">
              <w:rPr>
                <w:b/>
                <w:color w:val="000000"/>
                <w:sz w:val="18"/>
                <w:szCs w:val="18"/>
              </w:rPr>
              <w:t xml:space="preserve"> </w:t>
            </w:r>
            <w:r w:rsidR="00A257AD">
              <w:rPr>
                <w:b/>
                <w:color w:val="000000"/>
                <w:sz w:val="18"/>
                <w:szCs w:val="18"/>
              </w:rPr>
              <w:t>a</w:t>
            </w:r>
            <w:r>
              <w:rPr>
                <w:b/>
                <w:color w:val="000000"/>
                <w:sz w:val="18"/>
                <w:szCs w:val="18"/>
              </w:rPr>
              <w:t>rea</w:t>
            </w:r>
          </w:p>
          <w:p w14:paraId="1BF564BD" w14:textId="090AA026" w:rsidR="00803815" w:rsidRPr="00D5096D" w:rsidRDefault="00803815" w:rsidP="00A95657">
            <w:pPr>
              <w:pBdr>
                <w:top w:val="nil"/>
                <w:left w:val="nil"/>
                <w:bottom w:val="nil"/>
                <w:right w:val="nil"/>
                <w:between w:val="nil"/>
              </w:pBdr>
              <w:spacing w:after="0" w:line="220" w:lineRule="auto"/>
              <w:jc w:val="center"/>
              <w:rPr>
                <w:b/>
                <w:color w:val="000000"/>
                <w:sz w:val="18"/>
                <w:szCs w:val="18"/>
              </w:rPr>
            </w:pPr>
            <w:r>
              <w:rPr>
                <w:b/>
                <w:color w:val="000000"/>
                <w:sz w:val="18"/>
                <w:szCs w:val="18"/>
              </w:rPr>
              <w:t>[m</w:t>
            </w:r>
            <w:r>
              <w:rPr>
                <w:b/>
                <w:color w:val="000000"/>
                <w:sz w:val="18"/>
                <w:szCs w:val="18"/>
                <w:vertAlign w:val="superscript"/>
              </w:rPr>
              <w:t>2</w:t>
            </w:r>
            <w:r>
              <w:rPr>
                <w:b/>
                <w:color w:val="000000"/>
                <w:sz w:val="18"/>
                <w:szCs w:val="18"/>
              </w:rPr>
              <w:t>]</w:t>
            </w:r>
          </w:p>
        </w:tc>
        <w:tc>
          <w:tcPr>
            <w:tcW w:w="720" w:type="dxa"/>
            <w:vAlign w:val="center"/>
          </w:tcPr>
          <w:p w14:paraId="60C67DF8" w14:textId="77777777" w:rsidR="00803815" w:rsidRDefault="00803815" w:rsidP="00A95657">
            <w:pPr>
              <w:pBdr>
                <w:top w:val="nil"/>
                <w:left w:val="nil"/>
                <w:bottom w:val="nil"/>
                <w:right w:val="nil"/>
                <w:between w:val="nil"/>
              </w:pBdr>
              <w:spacing w:after="0" w:line="220" w:lineRule="auto"/>
              <w:jc w:val="center"/>
              <w:rPr>
                <w:b/>
                <w:color w:val="000000"/>
                <w:sz w:val="18"/>
                <w:szCs w:val="18"/>
              </w:rPr>
            </w:pPr>
            <w:proofErr w:type="spellStart"/>
            <w:r>
              <w:rPr>
                <w:b/>
                <w:color w:val="000000"/>
                <w:sz w:val="18"/>
                <w:szCs w:val="18"/>
              </w:rPr>
              <w:t>Q</w:t>
            </w:r>
            <w:r w:rsidRPr="00A653B7">
              <w:rPr>
                <w:b/>
                <w:color w:val="000000"/>
                <w:sz w:val="18"/>
                <w:szCs w:val="18"/>
                <w:vertAlign w:val="subscript"/>
              </w:rPr>
              <w:t>sen</w:t>
            </w:r>
            <w:proofErr w:type="spellEnd"/>
          </w:p>
          <w:p w14:paraId="42197514" w14:textId="6D1BDBA7" w:rsidR="00803815" w:rsidRPr="007514D0" w:rsidRDefault="00803815" w:rsidP="00A95657">
            <w:pPr>
              <w:pBdr>
                <w:top w:val="nil"/>
                <w:left w:val="nil"/>
                <w:bottom w:val="nil"/>
                <w:right w:val="nil"/>
                <w:between w:val="nil"/>
              </w:pBdr>
              <w:spacing w:after="0" w:line="220" w:lineRule="auto"/>
              <w:jc w:val="center"/>
              <w:rPr>
                <w:b/>
                <w:smallCaps/>
                <w:color w:val="000000"/>
                <w:sz w:val="18"/>
                <w:szCs w:val="18"/>
              </w:rPr>
            </w:pPr>
            <w:r>
              <w:rPr>
                <w:b/>
                <w:color w:val="000000"/>
                <w:sz w:val="18"/>
                <w:szCs w:val="18"/>
              </w:rPr>
              <w:t>[W]</w:t>
            </w:r>
          </w:p>
        </w:tc>
        <w:tc>
          <w:tcPr>
            <w:tcW w:w="820" w:type="dxa"/>
            <w:vAlign w:val="center"/>
          </w:tcPr>
          <w:p w14:paraId="72A8DB47" w14:textId="77777777" w:rsidR="00803815" w:rsidRDefault="00803815" w:rsidP="00A95657">
            <w:pPr>
              <w:pBdr>
                <w:top w:val="nil"/>
                <w:left w:val="nil"/>
                <w:bottom w:val="nil"/>
                <w:right w:val="nil"/>
                <w:between w:val="nil"/>
              </w:pBdr>
              <w:spacing w:after="0" w:line="220" w:lineRule="auto"/>
              <w:jc w:val="center"/>
              <w:rPr>
                <w:b/>
                <w:color w:val="000000"/>
                <w:sz w:val="18"/>
                <w:szCs w:val="18"/>
              </w:rPr>
            </w:pPr>
            <w:proofErr w:type="spellStart"/>
            <w:r>
              <w:rPr>
                <w:b/>
                <w:color w:val="000000"/>
                <w:sz w:val="18"/>
                <w:szCs w:val="18"/>
              </w:rPr>
              <w:t>T</w:t>
            </w:r>
            <w:r w:rsidRPr="00A653B7">
              <w:rPr>
                <w:b/>
                <w:color w:val="000000"/>
                <w:sz w:val="18"/>
                <w:szCs w:val="18"/>
                <w:vertAlign w:val="subscript"/>
              </w:rPr>
              <w:t>rise</w:t>
            </w:r>
            <w:proofErr w:type="spellEnd"/>
          </w:p>
          <w:p w14:paraId="65AD6498" w14:textId="3330D003" w:rsidR="00803815" w:rsidRDefault="00803815" w:rsidP="00A95657">
            <w:pPr>
              <w:pBdr>
                <w:top w:val="nil"/>
                <w:left w:val="nil"/>
                <w:bottom w:val="nil"/>
                <w:right w:val="nil"/>
                <w:between w:val="nil"/>
              </w:pBdr>
              <w:spacing w:after="0" w:line="220" w:lineRule="auto"/>
              <w:jc w:val="center"/>
              <w:rPr>
                <w:b/>
                <w:smallCaps/>
                <w:color w:val="000000"/>
                <w:sz w:val="18"/>
                <w:szCs w:val="18"/>
              </w:rPr>
            </w:pPr>
            <w:r>
              <w:rPr>
                <w:b/>
                <w:color w:val="000000"/>
                <w:sz w:val="18"/>
                <w:szCs w:val="18"/>
              </w:rPr>
              <w:t>[°C]</w:t>
            </w:r>
          </w:p>
        </w:tc>
      </w:tr>
      <w:tr w:rsidR="00803815" w14:paraId="1656DA82" w14:textId="77777777" w:rsidTr="00DC5675">
        <w:tc>
          <w:tcPr>
            <w:tcW w:w="1165" w:type="dxa"/>
            <w:vAlign w:val="center"/>
          </w:tcPr>
          <w:p w14:paraId="16F1F285" w14:textId="1C706B84" w:rsidR="00803815" w:rsidRDefault="00803815" w:rsidP="00A95657">
            <w:pPr>
              <w:pBdr>
                <w:top w:val="nil"/>
                <w:left w:val="nil"/>
                <w:bottom w:val="nil"/>
                <w:right w:val="nil"/>
                <w:between w:val="nil"/>
              </w:pBdr>
              <w:spacing w:after="0" w:line="220" w:lineRule="auto"/>
              <w:jc w:val="center"/>
              <w:rPr>
                <w:color w:val="000000"/>
                <w:sz w:val="18"/>
                <w:szCs w:val="18"/>
              </w:rPr>
            </w:pPr>
            <w:r>
              <w:rPr>
                <w:color w:val="000000"/>
                <w:sz w:val="18"/>
                <w:szCs w:val="18"/>
              </w:rPr>
              <w:t>ERS</w:t>
            </w:r>
          </w:p>
        </w:tc>
        <w:tc>
          <w:tcPr>
            <w:tcW w:w="1170" w:type="dxa"/>
            <w:vAlign w:val="center"/>
          </w:tcPr>
          <w:p w14:paraId="3681DC14" w14:textId="2AE05D9F" w:rsidR="00803815" w:rsidRDefault="00803815" w:rsidP="00A95657">
            <w:pPr>
              <w:pBdr>
                <w:top w:val="nil"/>
                <w:left w:val="nil"/>
                <w:bottom w:val="nil"/>
                <w:right w:val="nil"/>
                <w:between w:val="nil"/>
              </w:pBdr>
              <w:spacing w:after="0" w:line="220" w:lineRule="auto"/>
              <w:jc w:val="center"/>
              <w:rPr>
                <w:color w:val="000000"/>
                <w:sz w:val="18"/>
                <w:szCs w:val="18"/>
              </w:rPr>
            </w:pPr>
            <w:r>
              <w:rPr>
                <w:color w:val="000000"/>
                <w:sz w:val="18"/>
                <w:szCs w:val="18"/>
              </w:rPr>
              <w:t>Empty</w:t>
            </w:r>
          </w:p>
        </w:tc>
        <w:tc>
          <w:tcPr>
            <w:tcW w:w="900" w:type="dxa"/>
            <w:vAlign w:val="center"/>
          </w:tcPr>
          <w:p w14:paraId="4A963FCD" w14:textId="271CC1DB" w:rsidR="00803815" w:rsidRDefault="00ED5A2F" w:rsidP="00A95657">
            <w:pPr>
              <w:pBdr>
                <w:top w:val="nil"/>
                <w:left w:val="nil"/>
                <w:bottom w:val="nil"/>
                <w:right w:val="nil"/>
                <w:between w:val="nil"/>
              </w:pBdr>
              <w:spacing w:after="0" w:line="220" w:lineRule="auto"/>
              <w:jc w:val="center"/>
              <w:rPr>
                <w:color w:val="000000"/>
                <w:sz w:val="18"/>
                <w:szCs w:val="18"/>
              </w:rPr>
            </w:pPr>
            <w:r>
              <w:rPr>
                <w:color w:val="000000"/>
                <w:sz w:val="18"/>
                <w:szCs w:val="18"/>
              </w:rPr>
              <w:t>24.06</w:t>
            </w:r>
          </w:p>
        </w:tc>
        <w:tc>
          <w:tcPr>
            <w:tcW w:w="720" w:type="dxa"/>
            <w:vAlign w:val="center"/>
          </w:tcPr>
          <w:p w14:paraId="5AF18366" w14:textId="2CB8FC5F" w:rsidR="00803815" w:rsidRDefault="00CA1ADD" w:rsidP="00A95657">
            <w:pPr>
              <w:pBdr>
                <w:top w:val="nil"/>
                <w:left w:val="nil"/>
                <w:bottom w:val="nil"/>
                <w:right w:val="nil"/>
                <w:between w:val="nil"/>
              </w:pBdr>
              <w:spacing w:after="0" w:line="220" w:lineRule="auto"/>
              <w:jc w:val="center"/>
              <w:rPr>
                <w:color w:val="000000"/>
                <w:sz w:val="18"/>
                <w:szCs w:val="18"/>
              </w:rPr>
            </w:pPr>
            <w:r>
              <w:rPr>
                <w:color w:val="000000"/>
                <w:sz w:val="18"/>
                <w:szCs w:val="18"/>
              </w:rPr>
              <w:t>2815</w:t>
            </w:r>
          </w:p>
        </w:tc>
        <w:tc>
          <w:tcPr>
            <w:tcW w:w="820" w:type="dxa"/>
            <w:vAlign w:val="center"/>
          </w:tcPr>
          <w:p w14:paraId="7E4ACAE6" w14:textId="6352FC65" w:rsidR="00803815" w:rsidRDefault="00A72833" w:rsidP="00A95657">
            <w:pPr>
              <w:pBdr>
                <w:top w:val="nil"/>
                <w:left w:val="nil"/>
                <w:bottom w:val="nil"/>
                <w:right w:val="nil"/>
                <w:between w:val="nil"/>
              </w:pBdr>
              <w:spacing w:after="0" w:line="220" w:lineRule="auto"/>
              <w:jc w:val="center"/>
              <w:rPr>
                <w:color w:val="000000"/>
                <w:sz w:val="18"/>
                <w:szCs w:val="18"/>
              </w:rPr>
            </w:pPr>
            <w:r>
              <w:rPr>
                <w:color w:val="000000"/>
                <w:sz w:val="18"/>
                <w:szCs w:val="18"/>
              </w:rPr>
              <w:t>1.98</w:t>
            </w:r>
          </w:p>
        </w:tc>
      </w:tr>
      <w:tr w:rsidR="00803815" w14:paraId="72297A09" w14:textId="77777777" w:rsidTr="00DC5675">
        <w:tc>
          <w:tcPr>
            <w:tcW w:w="1165" w:type="dxa"/>
            <w:vAlign w:val="center"/>
          </w:tcPr>
          <w:p w14:paraId="0F4AC2FA" w14:textId="0E8C234A" w:rsidR="00803815" w:rsidRDefault="00D92182" w:rsidP="00A95657">
            <w:pPr>
              <w:pBdr>
                <w:top w:val="nil"/>
                <w:left w:val="nil"/>
                <w:bottom w:val="nil"/>
                <w:right w:val="nil"/>
                <w:between w:val="nil"/>
              </w:pBdr>
              <w:spacing w:after="0" w:line="220" w:lineRule="auto"/>
              <w:jc w:val="center"/>
              <w:rPr>
                <w:color w:val="000000"/>
                <w:sz w:val="18"/>
                <w:szCs w:val="18"/>
              </w:rPr>
            </w:pPr>
            <w:r>
              <w:rPr>
                <w:color w:val="000000"/>
                <w:sz w:val="18"/>
                <w:szCs w:val="18"/>
              </w:rPr>
              <w:t>Nesbitt</w:t>
            </w:r>
          </w:p>
        </w:tc>
        <w:tc>
          <w:tcPr>
            <w:tcW w:w="1170" w:type="dxa"/>
            <w:vAlign w:val="center"/>
          </w:tcPr>
          <w:p w14:paraId="1A02C7A1" w14:textId="17D4A3FA" w:rsidR="00803815" w:rsidRDefault="00803815" w:rsidP="00A95657">
            <w:pPr>
              <w:pBdr>
                <w:top w:val="nil"/>
                <w:left w:val="nil"/>
                <w:bottom w:val="nil"/>
                <w:right w:val="nil"/>
                <w:between w:val="nil"/>
              </w:pBdr>
              <w:spacing w:after="0" w:line="220" w:lineRule="auto"/>
              <w:jc w:val="center"/>
              <w:rPr>
                <w:color w:val="000000"/>
                <w:sz w:val="18"/>
                <w:szCs w:val="18"/>
              </w:rPr>
            </w:pPr>
            <w:r>
              <w:rPr>
                <w:color w:val="000000"/>
                <w:sz w:val="18"/>
                <w:szCs w:val="18"/>
              </w:rPr>
              <w:t>Typical</w:t>
            </w:r>
          </w:p>
        </w:tc>
        <w:tc>
          <w:tcPr>
            <w:tcW w:w="900" w:type="dxa"/>
            <w:vAlign w:val="center"/>
          </w:tcPr>
          <w:p w14:paraId="6E279A56" w14:textId="394801AE" w:rsidR="00803815" w:rsidRDefault="0048205E" w:rsidP="00A95657">
            <w:pPr>
              <w:pBdr>
                <w:top w:val="nil"/>
                <w:left w:val="nil"/>
                <w:bottom w:val="nil"/>
                <w:right w:val="nil"/>
                <w:between w:val="nil"/>
              </w:pBdr>
              <w:spacing w:after="0" w:line="220" w:lineRule="auto"/>
              <w:jc w:val="center"/>
              <w:rPr>
                <w:color w:val="000000"/>
                <w:sz w:val="18"/>
                <w:szCs w:val="18"/>
              </w:rPr>
            </w:pPr>
            <w:r>
              <w:rPr>
                <w:color w:val="000000"/>
                <w:sz w:val="18"/>
                <w:szCs w:val="18"/>
              </w:rPr>
              <w:t>9.29 to 112.34</w:t>
            </w:r>
          </w:p>
        </w:tc>
        <w:tc>
          <w:tcPr>
            <w:tcW w:w="720" w:type="dxa"/>
            <w:vAlign w:val="center"/>
          </w:tcPr>
          <w:p w14:paraId="4226984F" w14:textId="1A1DF782" w:rsidR="00803815" w:rsidRDefault="00A95657" w:rsidP="00A95657">
            <w:pPr>
              <w:pBdr>
                <w:top w:val="nil"/>
                <w:left w:val="nil"/>
                <w:bottom w:val="nil"/>
                <w:right w:val="nil"/>
                <w:between w:val="nil"/>
              </w:pBdr>
              <w:spacing w:after="0" w:line="220" w:lineRule="auto"/>
              <w:jc w:val="center"/>
              <w:rPr>
                <w:color w:val="000000"/>
                <w:sz w:val="18"/>
                <w:szCs w:val="18"/>
              </w:rPr>
            </w:pPr>
            <w:r>
              <w:rPr>
                <w:color w:val="000000"/>
                <w:sz w:val="18"/>
                <w:szCs w:val="18"/>
              </w:rPr>
              <w:t>300 to 4684</w:t>
            </w:r>
          </w:p>
        </w:tc>
        <w:tc>
          <w:tcPr>
            <w:tcW w:w="820" w:type="dxa"/>
            <w:vAlign w:val="center"/>
          </w:tcPr>
          <w:p w14:paraId="5DADDDF9" w14:textId="21A82ED4" w:rsidR="00803815" w:rsidRPr="00A95657" w:rsidRDefault="00A95657" w:rsidP="00A95657">
            <w:pPr>
              <w:pBdr>
                <w:top w:val="nil"/>
                <w:left w:val="nil"/>
                <w:bottom w:val="nil"/>
                <w:right w:val="nil"/>
                <w:between w:val="nil"/>
              </w:pBdr>
              <w:spacing w:after="0" w:line="220" w:lineRule="auto"/>
              <w:jc w:val="center"/>
              <w:rPr>
                <w:color w:val="000000"/>
                <w:sz w:val="18"/>
                <w:szCs w:val="18"/>
              </w:rPr>
            </w:pPr>
            <w:r>
              <w:rPr>
                <w:color w:val="000000"/>
                <w:sz w:val="18"/>
                <w:szCs w:val="18"/>
              </w:rPr>
              <w:t xml:space="preserve">0.06 </w:t>
            </w:r>
            <w:r>
              <w:rPr>
                <w:color w:val="000000"/>
                <w:sz w:val="18"/>
                <w:szCs w:val="18"/>
                <w:lang w:eastAsia="zh-CN"/>
              </w:rPr>
              <w:t xml:space="preserve">to </w:t>
            </w:r>
            <w:r w:rsidR="0096311B">
              <w:rPr>
                <w:color w:val="000000"/>
                <w:sz w:val="18"/>
                <w:szCs w:val="18"/>
                <w:lang w:eastAsia="zh-CN"/>
              </w:rPr>
              <w:t>0.67</w:t>
            </w:r>
          </w:p>
        </w:tc>
      </w:tr>
      <w:tr w:rsidR="00FE119F" w14:paraId="1C0307F2" w14:textId="77777777" w:rsidTr="00DC5675">
        <w:tc>
          <w:tcPr>
            <w:tcW w:w="1165" w:type="dxa"/>
            <w:vAlign w:val="center"/>
          </w:tcPr>
          <w:p w14:paraId="58F469B4" w14:textId="69CEAA42"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 xml:space="preserve">Small Office Prototype </w:t>
            </w:r>
          </w:p>
        </w:tc>
        <w:tc>
          <w:tcPr>
            <w:tcW w:w="1170" w:type="dxa"/>
            <w:vAlign w:val="center"/>
          </w:tcPr>
          <w:p w14:paraId="62AFC7DF" w14:textId="013D5207" w:rsidR="00FE119F" w:rsidRDefault="00FE119F" w:rsidP="00FE119F">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=0 &amp; C</w:t>
            </w:r>
            <w:r w:rsidRPr="00DC79AF">
              <w:rPr>
                <w:color w:val="000000"/>
                <w:sz w:val="18"/>
                <w:szCs w:val="18"/>
                <w:vertAlign w:val="subscript"/>
              </w:rPr>
              <w:t>T</w:t>
            </w:r>
            <w:r>
              <w:rPr>
                <w:color w:val="000000"/>
                <w:sz w:val="18"/>
                <w:szCs w:val="18"/>
              </w:rPr>
              <w:t>=1</w:t>
            </w:r>
          </w:p>
        </w:tc>
        <w:tc>
          <w:tcPr>
            <w:tcW w:w="900" w:type="dxa"/>
            <w:vAlign w:val="center"/>
          </w:tcPr>
          <w:p w14:paraId="69D66126" w14:textId="00841D61"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113.45</w:t>
            </w:r>
          </w:p>
        </w:tc>
        <w:tc>
          <w:tcPr>
            <w:tcW w:w="720" w:type="dxa"/>
            <w:vAlign w:val="center"/>
          </w:tcPr>
          <w:p w14:paraId="33880E56" w14:textId="003E8810"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2381</w:t>
            </w:r>
          </w:p>
        </w:tc>
        <w:tc>
          <w:tcPr>
            <w:tcW w:w="820" w:type="dxa"/>
            <w:vAlign w:val="center"/>
          </w:tcPr>
          <w:p w14:paraId="059ABAF5" w14:textId="7E1BC476"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1.97</w:t>
            </w:r>
          </w:p>
        </w:tc>
      </w:tr>
      <w:tr w:rsidR="00FE119F" w14:paraId="19420390" w14:textId="77777777" w:rsidTr="00DC5675">
        <w:tc>
          <w:tcPr>
            <w:tcW w:w="1165" w:type="dxa"/>
            <w:vAlign w:val="center"/>
          </w:tcPr>
          <w:p w14:paraId="376DE1B8" w14:textId="57814A93"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 xml:space="preserve">Small Office Prototype </w:t>
            </w:r>
          </w:p>
        </w:tc>
        <w:tc>
          <w:tcPr>
            <w:tcW w:w="1170" w:type="dxa"/>
            <w:vAlign w:val="center"/>
          </w:tcPr>
          <w:p w14:paraId="186EFCEA" w14:textId="1B3D4D44" w:rsidR="00FE119F" w:rsidRDefault="00FE119F" w:rsidP="00FE119F">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=2xFlrArea &amp; C</w:t>
            </w:r>
            <w:r w:rsidRPr="00DC79AF">
              <w:rPr>
                <w:color w:val="000000"/>
                <w:sz w:val="18"/>
                <w:szCs w:val="18"/>
                <w:vertAlign w:val="subscript"/>
              </w:rPr>
              <w:t>T</w:t>
            </w:r>
            <w:r>
              <w:rPr>
                <w:color w:val="000000"/>
                <w:sz w:val="18"/>
                <w:szCs w:val="18"/>
              </w:rPr>
              <w:t>=1</w:t>
            </w:r>
          </w:p>
        </w:tc>
        <w:tc>
          <w:tcPr>
            <w:tcW w:w="900" w:type="dxa"/>
            <w:vAlign w:val="center"/>
          </w:tcPr>
          <w:p w14:paraId="71420D2D" w14:textId="009D20F8"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113.45</w:t>
            </w:r>
          </w:p>
        </w:tc>
        <w:tc>
          <w:tcPr>
            <w:tcW w:w="720" w:type="dxa"/>
            <w:vAlign w:val="center"/>
          </w:tcPr>
          <w:p w14:paraId="0D793107" w14:textId="2FD7978E"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2663</w:t>
            </w:r>
          </w:p>
        </w:tc>
        <w:tc>
          <w:tcPr>
            <w:tcW w:w="820" w:type="dxa"/>
            <w:vAlign w:val="center"/>
          </w:tcPr>
          <w:p w14:paraId="7D5AA392" w14:textId="67893D0A" w:rsidR="00FE119F" w:rsidRDefault="00FE119F" w:rsidP="00FE119F">
            <w:pPr>
              <w:pBdr>
                <w:top w:val="nil"/>
                <w:left w:val="nil"/>
                <w:bottom w:val="nil"/>
                <w:right w:val="nil"/>
                <w:between w:val="nil"/>
              </w:pBdr>
              <w:spacing w:after="0" w:line="220" w:lineRule="auto"/>
              <w:jc w:val="center"/>
              <w:rPr>
                <w:color w:val="000000"/>
                <w:sz w:val="18"/>
                <w:szCs w:val="18"/>
              </w:rPr>
            </w:pPr>
            <w:r>
              <w:rPr>
                <w:color w:val="000000"/>
                <w:sz w:val="18"/>
                <w:szCs w:val="18"/>
              </w:rPr>
              <w:t>1.89</w:t>
            </w:r>
          </w:p>
        </w:tc>
      </w:tr>
      <w:tr w:rsidR="00CF45CA" w14:paraId="68304760" w14:textId="77777777" w:rsidTr="00DC5675">
        <w:tc>
          <w:tcPr>
            <w:tcW w:w="1165" w:type="dxa"/>
            <w:vAlign w:val="center"/>
          </w:tcPr>
          <w:p w14:paraId="5F2700A2" w14:textId="6B5BBCBC" w:rsidR="00CF45CA" w:rsidRDefault="00CF45CA" w:rsidP="00EA31AC">
            <w:pPr>
              <w:pBdr>
                <w:top w:val="nil"/>
                <w:left w:val="nil"/>
                <w:bottom w:val="nil"/>
                <w:right w:val="nil"/>
                <w:between w:val="nil"/>
              </w:pBdr>
              <w:spacing w:after="0" w:line="220" w:lineRule="auto"/>
              <w:jc w:val="center"/>
              <w:rPr>
                <w:color w:val="000000"/>
                <w:sz w:val="18"/>
                <w:szCs w:val="18"/>
              </w:rPr>
            </w:pPr>
            <w:r>
              <w:rPr>
                <w:color w:val="000000"/>
                <w:sz w:val="18"/>
                <w:szCs w:val="18"/>
              </w:rPr>
              <w:t>Small Office Prototype</w:t>
            </w:r>
          </w:p>
        </w:tc>
        <w:tc>
          <w:tcPr>
            <w:tcW w:w="1170" w:type="dxa"/>
            <w:vAlign w:val="center"/>
          </w:tcPr>
          <w:p w14:paraId="76502675" w14:textId="7D47C4D6" w:rsidR="00CF45CA" w:rsidRDefault="00CF45CA" w:rsidP="00EA31AC">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=0 &amp; C</w:t>
            </w:r>
            <w:r w:rsidRPr="00DC79AF">
              <w:rPr>
                <w:color w:val="000000"/>
                <w:sz w:val="18"/>
                <w:szCs w:val="18"/>
                <w:vertAlign w:val="subscript"/>
              </w:rPr>
              <w:t>T</w:t>
            </w:r>
            <w:r>
              <w:rPr>
                <w:color w:val="000000"/>
                <w:sz w:val="18"/>
                <w:szCs w:val="18"/>
              </w:rPr>
              <w:t>=</w:t>
            </w:r>
            <w:r w:rsidR="0096311B">
              <w:rPr>
                <w:color w:val="000000"/>
                <w:sz w:val="18"/>
                <w:szCs w:val="18"/>
              </w:rPr>
              <w:t>8</w:t>
            </w:r>
          </w:p>
        </w:tc>
        <w:tc>
          <w:tcPr>
            <w:tcW w:w="900" w:type="dxa"/>
            <w:vAlign w:val="center"/>
          </w:tcPr>
          <w:p w14:paraId="7BE04E03" w14:textId="27068B95" w:rsidR="00CF45CA" w:rsidRDefault="0096311B" w:rsidP="00EA31AC">
            <w:pPr>
              <w:pBdr>
                <w:top w:val="nil"/>
                <w:left w:val="nil"/>
                <w:bottom w:val="nil"/>
                <w:right w:val="nil"/>
                <w:between w:val="nil"/>
              </w:pBdr>
              <w:spacing w:after="0" w:line="220" w:lineRule="auto"/>
              <w:jc w:val="center"/>
              <w:rPr>
                <w:color w:val="000000"/>
                <w:sz w:val="18"/>
                <w:szCs w:val="18"/>
              </w:rPr>
            </w:pPr>
            <w:r>
              <w:rPr>
                <w:color w:val="000000"/>
                <w:sz w:val="18"/>
                <w:szCs w:val="18"/>
              </w:rPr>
              <w:t>113.45</w:t>
            </w:r>
          </w:p>
        </w:tc>
        <w:tc>
          <w:tcPr>
            <w:tcW w:w="720" w:type="dxa"/>
            <w:vAlign w:val="center"/>
          </w:tcPr>
          <w:p w14:paraId="671DBE80" w14:textId="5C3D79A0" w:rsidR="00CF45CA" w:rsidRDefault="00657093" w:rsidP="00EA31AC">
            <w:pPr>
              <w:pBdr>
                <w:top w:val="nil"/>
                <w:left w:val="nil"/>
                <w:bottom w:val="nil"/>
                <w:right w:val="nil"/>
                <w:between w:val="nil"/>
              </w:pBdr>
              <w:spacing w:after="0" w:line="220" w:lineRule="auto"/>
              <w:jc w:val="center"/>
              <w:rPr>
                <w:color w:val="000000"/>
                <w:sz w:val="18"/>
                <w:szCs w:val="18"/>
              </w:rPr>
            </w:pPr>
            <w:r>
              <w:rPr>
                <w:color w:val="000000"/>
                <w:sz w:val="18"/>
                <w:szCs w:val="18"/>
              </w:rPr>
              <w:t>2351</w:t>
            </w:r>
          </w:p>
        </w:tc>
        <w:tc>
          <w:tcPr>
            <w:tcW w:w="820" w:type="dxa"/>
            <w:vAlign w:val="center"/>
          </w:tcPr>
          <w:p w14:paraId="7B22269D" w14:textId="547B4360" w:rsidR="00CF45CA" w:rsidRDefault="00657093" w:rsidP="00EA31AC">
            <w:pPr>
              <w:pBdr>
                <w:top w:val="nil"/>
                <w:left w:val="nil"/>
                <w:bottom w:val="nil"/>
                <w:right w:val="nil"/>
                <w:between w:val="nil"/>
              </w:pBdr>
              <w:spacing w:after="0" w:line="220" w:lineRule="auto"/>
              <w:jc w:val="center"/>
              <w:rPr>
                <w:color w:val="000000"/>
                <w:sz w:val="18"/>
                <w:szCs w:val="18"/>
              </w:rPr>
            </w:pPr>
            <w:r>
              <w:rPr>
                <w:color w:val="000000"/>
                <w:sz w:val="18"/>
                <w:szCs w:val="18"/>
              </w:rPr>
              <w:t>0.37</w:t>
            </w:r>
          </w:p>
        </w:tc>
      </w:tr>
      <w:tr w:rsidR="00CF45CA" w14:paraId="021AAB6C" w14:textId="77777777" w:rsidTr="00DC5675">
        <w:tc>
          <w:tcPr>
            <w:tcW w:w="1165" w:type="dxa"/>
            <w:vAlign w:val="center"/>
          </w:tcPr>
          <w:p w14:paraId="4CDE39DE" w14:textId="3B1AF12D" w:rsidR="00CF45CA" w:rsidRDefault="0096311B" w:rsidP="00EA31AC">
            <w:pPr>
              <w:pBdr>
                <w:top w:val="nil"/>
                <w:left w:val="nil"/>
                <w:bottom w:val="nil"/>
                <w:right w:val="nil"/>
                <w:between w:val="nil"/>
              </w:pBdr>
              <w:spacing w:after="0" w:line="220" w:lineRule="auto"/>
              <w:jc w:val="center"/>
              <w:rPr>
                <w:color w:val="000000"/>
                <w:sz w:val="18"/>
                <w:szCs w:val="18"/>
              </w:rPr>
            </w:pPr>
            <w:r>
              <w:rPr>
                <w:color w:val="000000"/>
                <w:sz w:val="18"/>
                <w:szCs w:val="18"/>
              </w:rPr>
              <w:t>Small Office Prototype</w:t>
            </w:r>
          </w:p>
        </w:tc>
        <w:tc>
          <w:tcPr>
            <w:tcW w:w="1170" w:type="dxa"/>
            <w:vAlign w:val="center"/>
          </w:tcPr>
          <w:p w14:paraId="045ECE8C" w14:textId="3E5A1B26" w:rsidR="00CF45CA" w:rsidRDefault="0096311B" w:rsidP="00EA31AC">
            <w:pPr>
              <w:pBdr>
                <w:top w:val="nil"/>
                <w:left w:val="nil"/>
                <w:bottom w:val="nil"/>
                <w:right w:val="nil"/>
                <w:between w:val="nil"/>
              </w:pBdr>
              <w:spacing w:after="0" w:line="220" w:lineRule="auto"/>
              <w:jc w:val="center"/>
              <w:rPr>
                <w:color w:val="000000"/>
                <w:sz w:val="18"/>
                <w:szCs w:val="18"/>
              </w:rPr>
            </w:pPr>
            <w:proofErr w:type="spellStart"/>
            <w:r>
              <w:rPr>
                <w:color w:val="000000"/>
                <w:sz w:val="18"/>
                <w:szCs w:val="18"/>
              </w:rPr>
              <w:t>IntMassArea</w:t>
            </w:r>
            <w:proofErr w:type="spellEnd"/>
            <w:r>
              <w:rPr>
                <w:color w:val="000000"/>
                <w:sz w:val="18"/>
                <w:szCs w:val="18"/>
              </w:rPr>
              <w:t>=2xFlrArea &amp; C</w:t>
            </w:r>
            <w:r w:rsidRPr="00DC79AF">
              <w:rPr>
                <w:color w:val="000000"/>
                <w:sz w:val="18"/>
                <w:szCs w:val="18"/>
                <w:vertAlign w:val="subscript"/>
              </w:rPr>
              <w:t>T</w:t>
            </w:r>
            <w:r>
              <w:rPr>
                <w:color w:val="000000"/>
                <w:sz w:val="18"/>
                <w:szCs w:val="18"/>
              </w:rPr>
              <w:t>=8</w:t>
            </w:r>
          </w:p>
        </w:tc>
        <w:tc>
          <w:tcPr>
            <w:tcW w:w="900" w:type="dxa"/>
            <w:vAlign w:val="center"/>
          </w:tcPr>
          <w:p w14:paraId="44268815" w14:textId="4125A387" w:rsidR="00CF45CA" w:rsidRDefault="0096311B" w:rsidP="00EA31AC">
            <w:pPr>
              <w:pBdr>
                <w:top w:val="nil"/>
                <w:left w:val="nil"/>
                <w:bottom w:val="nil"/>
                <w:right w:val="nil"/>
                <w:between w:val="nil"/>
              </w:pBdr>
              <w:spacing w:after="0" w:line="220" w:lineRule="auto"/>
              <w:jc w:val="center"/>
              <w:rPr>
                <w:color w:val="000000"/>
                <w:sz w:val="18"/>
                <w:szCs w:val="18"/>
              </w:rPr>
            </w:pPr>
            <w:r>
              <w:rPr>
                <w:color w:val="000000"/>
                <w:sz w:val="18"/>
                <w:szCs w:val="18"/>
              </w:rPr>
              <w:t>113.45</w:t>
            </w:r>
          </w:p>
        </w:tc>
        <w:tc>
          <w:tcPr>
            <w:tcW w:w="720" w:type="dxa"/>
            <w:vAlign w:val="center"/>
          </w:tcPr>
          <w:p w14:paraId="153F6273" w14:textId="23DA8F14" w:rsidR="00CF45CA" w:rsidRDefault="00B31E43" w:rsidP="00EA31AC">
            <w:pPr>
              <w:pBdr>
                <w:top w:val="nil"/>
                <w:left w:val="nil"/>
                <w:bottom w:val="nil"/>
                <w:right w:val="nil"/>
                <w:between w:val="nil"/>
              </w:pBdr>
              <w:spacing w:after="0" w:line="220" w:lineRule="auto"/>
              <w:jc w:val="center"/>
              <w:rPr>
                <w:color w:val="000000"/>
                <w:sz w:val="18"/>
                <w:szCs w:val="18"/>
              </w:rPr>
            </w:pPr>
            <w:r>
              <w:rPr>
                <w:color w:val="000000"/>
                <w:sz w:val="18"/>
                <w:szCs w:val="18"/>
              </w:rPr>
              <w:t>2634</w:t>
            </w:r>
          </w:p>
        </w:tc>
        <w:tc>
          <w:tcPr>
            <w:tcW w:w="820" w:type="dxa"/>
            <w:vAlign w:val="center"/>
          </w:tcPr>
          <w:p w14:paraId="3BB0A0EE" w14:textId="4E4B1DE1" w:rsidR="00CF45CA" w:rsidRDefault="00B31E43" w:rsidP="00EA31AC">
            <w:pPr>
              <w:pBdr>
                <w:top w:val="nil"/>
                <w:left w:val="nil"/>
                <w:bottom w:val="nil"/>
                <w:right w:val="nil"/>
                <w:between w:val="nil"/>
              </w:pBdr>
              <w:spacing w:after="0" w:line="220" w:lineRule="auto"/>
              <w:jc w:val="center"/>
              <w:rPr>
                <w:color w:val="000000"/>
                <w:sz w:val="18"/>
                <w:szCs w:val="18"/>
              </w:rPr>
            </w:pPr>
            <w:r>
              <w:rPr>
                <w:color w:val="000000"/>
                <w:sz w:val="18"/>
                <w:szCs w:val="18"/>
              </w:rPr>
              <w:t>0.40</w:t>
            </w:r>
          </w:p>
        </w:tc>
      </w:tr>
    </w:tbl>
    <w:p w14:paraId="3831CFB0" w14:textId="2A69216A" w:rsidR="001421D7" w:rsidRDefault="001421D7" w:rsidP="001421D7">
      <w:pPr>
        <w:spacing w:before="60"/>
      </w:pPr>
      <w:r w:rsidRPr="007D1995">
        <w:t xml:space="preserve">As can be seen from </w:t>
      </w:r>
      <w:r>
        <w:t xml:space="preserve">the </w:t>
      </w:r>
      <w:r w:rsidRPr="007D1995">
        <w:t xml:space="preserve">real building data, the temperature of an empty </w:t>
      </w:r>
      <w:r>
        <w:t>zone</w:t>
      </w:r>
      <w:r w:rsidRPr="007D1995">
        <w:t xml:space="preserve"> can rise rapidly in a short period of time, while </w:t>
      </w:r>
      <w:r>
        <w:t>zones</w:t>
      </w:r>
      <w:r w:rsidRPr="007D1995">
        <w:t xml:space="preserve"> with typical internal mass rise relatively slower. From the simulation results, the case</w:t>
      </w:r>
      <w:r>
        <w:t>s</w:t>
      </w:r>
      <w:r w:rsidRPr="007D1995">
        <w:t xml:space="preserve"> without </w:t>
      </w:r>
      <w:r>
        <w:t>increased</w:t>
      </w:r>
      <w:r w:rsidRPr="007D1995">
        <w:t xml:space="preserve"> </w:t>
      </w:r>
      <w:r>
        <w:t>zone air capacitance, i.e., C</w:t>
      </w:r>
      <w:r>
        <w:rPr>
          <w:vertAlign w:val="subscript"/>
        </w:rPr>
        <w:t>T</w:t>
      </w:r>
      <w:r>
        <w:t xml:space="preserve">=1, </w:t>
      </w:r>
      <w:r w:rsidRPr="007D1995">
        <w:t xml:space="preserve">behave more similarly to an empty </w:t>
      </w:r>
      <w:r>
        <w:t xml:space="preserve">zone in </w:t>
      </w:r>
      <w:r w:rsidR="00C92B4F">
        <w:t xml:space="preserve">a </w:t>
      </w:r>
      <w:r>
        <w:t>real building</w:t>
      </w:r>
      <w:r w:rsidRPr="007D1995">
        <w:t xml:space="preserve"> in </w:t>
      </w:r>
      <w:r>
        <w:t>the</w:t>
      </w:r>
      <w:r w:rsidRPr="007D1995">
        <w:t xml:space="preserve"> short period </w:t>
      </w:r>
      <w:r>
        <w:t>after system shutdown</w:t>
      </w:r>
      <w:r w:rsidRPr="007D1995">
        <w:t>, while the case</w:t>
      </w:r>
      <w:r>
        <w:t>s</w:t>
      </w:r>
      <w:r w:rsidRPr="007D1995">
        <w:t xml:space="preserve"> with </w:t>
      </w:r>
      <w:r>
        <w:t>increased</w:t>
      </w:r>
      <w:r w:rsidRPr="007D1995">
        <w:t xml:space="preserve"> </w:t>
      </w:r>
      <w:r>
        <w:t>zone air capacitance</w:t>
      </w:r>
      <w:r w:rsidRPr="007D1995">
        <w:t xml:space="preserve"> closely resemble a </w:t>
      </w:r>
      <w:r>
        <w:t>zone</w:t>
      </w:r>
      <w:r w:rsidRPr="007D1995">
        <w:t xml:space="preserve"> with typical internal mass. Varying the </w:t>
      </w:r>
      <w:r>
        <w:t>zone air capacitance</w:t>
      </w:r>
      <w:r w:rsidRPr="007D1995">
        <w:t xml:space="preserve"> to better capture the temperature dynamics over a short period of time</w:t>
      </w:r>
      <w:r>
        <w:t xml:space="preserve"> </w:t>
      </w:r>
      <w:r w:rsidRPr="007D1995">
        <w:t xml:space="preserve">is </w:t>
      </w:r>
      <w:r>
        <w:t xml:space="preserve">thus </w:t>
      </w:r>
      <w:r w:rsidRPr="007D1995">
        <w:t>necessary</w:t>
      </w:r>
      <w:r>
        <w:t xml:space="preserve">. The typical value </w:t>
      </w:r>
      <w:r w:rsidR="00A741A2">
        <w:t xml:space="preserve">of 8 </w:t>
      </w:r>
      <w:r>
        <w:t xml:space="preserve">suggested by </w:t>
      </w:r>
      <w:r>
        <w:fldChar w:fldCharType="begin"/>
      </w:r>
      <w:r>
        <w:instrText xml:space="preserve"> ADDIN EN.CITE &lt;EndNote&gt;&lt;Cite&gt;&lt;Author&gt;Lee&lt;/Author&gt;&lt;Year&gt;2017&lt;/Year&gt;&lt;RecNum&gt;181&lt;/RecNum&gt;&lt;DisplayText&gt;(Lee &amp;amp; Hong, 2017)&lt;/DisplayText&gt;&lt;record&gt;&lt;rec-number&gt;181&lt;/rec-number&gt;&lt;foreign-keys&gt;&lt;key app="EN" db-id="e2epp5xvs9p5skexse7xssf5tpsprs5zep5d" timestamp="1630350891"&gt;181&lt;/key&gt;&lt;/foreign-keys&gt;&lt;ref-type name="Conference Proceedings"&gt;10&lt;/ref-type&gt;&lt;contributors&gt;&lt;authors&gt;&lt;author&gt;Lee, San Hoon&lt;/author&gt;&lt;author&gt;Hong, Tianzhen&lt;/author&gt;&lt;/authors&gt;&lt;/contributors&gt;&lt;titles&gt;&lt;title&gt;Leveraging zone air temperature data to improve physics-based energy simulation of existing buildings&lt;/title&gt;&lt;secondary-title&gt;15th IBPSA Conference San Francisco, CA, USA, Aug. 7-9, 2017&lt;/secondary-title&gt;&lt;/titles&gt;&lt;dates&gt;&lt;year&gt;2017&lt;/year&gt;&lt;/dates&gt;&lt;urls&gt;&lt;/urls&gt;&lt;/record&gt;&lt;/Cite&gt;&lt;/EndNote&gt;</w:instrText>
      </w:r>
      <w:r>
        <w:fldChar w:fldCharType="separate"/>
      </w:r>
      <w:r>
        <w:rPr>
          <w:noProof/>
        </w:rPr>
        <w:t xml:space="preserve">Lee </w:t>
      </w:r>
      <w:r w:rsidR="00BE35D6">
        <w:rPr>
          <w:noProof/>
        </w:rPr>
        <w:t>and</w:t>
      </w:r>
      <w:r>
        <w:rPr>
          <w:noProof/>
        </w:rPr>
        <w:t xml:space="preserve"> Hong </w:t>
      </w:r>
      <w:r w:rsidR="00BE35D6">
        <w:rPr>
          <w:noProof/>
        </w:rPr>
        <w:t>(</w:t>
      </w:r>
      <w:r>
        <w:rPr>
          <w:noProof/>
        </w:rPr>
        <w:t>2017)</w:t>
      </w:r>
      <w:r>
        <w:fldChar w:fldCharType="end"/>
      </w:r>
      <w:r>
        <w:t xml:space="preserve"> is found to be reasonable in this comparison.</w:t>
      </w:r>
    </w:p>
    <w:p w14:paraId="514D7D67" w14:textId="5D52451A" w:rsidR="000C67B8" w:rsidRDefault="00DB7A1F">
      <w:pPr>
        <w:pStyle w:val="Heading1"/>
      </w:pPr>
      <w:r>
        <w:t>Conclusion</w:t>
      </w:r>
    </w:p>
    <w:p w14:paraId="6B0D1A81" w14:textId="0512EE18" w:rsidR="007A361B" w:rsidRDefault="00752F58">
      <w:r w:rsidRPr="00752F58">
        <w:t>In this paper, we demonstrate</w:t>
      </w:r>
      <w:r w:rsidR="004C6505">
        <w:t>d</w:t>
      </w:r>
      <w:r w:rsidRPr="00752F58">
        <w:t xml:space="preserve"> the impact of two different internal mass modeling approaches in EnergyPlus on the simulation of temperature dynamics and system control studies through the analysis of heat balance equations, parametric analysis, and numerical experiments. </w:t>
      </w:r>
      <w:r w:rsidR="003806AF">
        <w:t>We also</w:t>
      </w:r>
      <w:r w:rsidRPr="00752F58">
        <w:t xml:space="preserve"> </w:t>
      </w:r>
      <w:r w:rsidR="00EE220F" w:rsidRPr="00EE220F">
        <w:t>analyze</w:t>
      </w:r>
      <w:r w:rsidR="002767DE">
        <w:t>d</w:t>
      </w:r>
      <w:r w:rsidR="00EE220F" w:rsidRPr="00EE220F">
        <w:t xml:space="preserve"> </w:t>
      </w:r>
      <w:r w:rsidRPr="00752F58">
        <w:t>a limited amount of real building data to get a glimpse of the internal mass</w:t>
      </w:r>
      <w:r w:rsidR="004B3F61">
        <w:t xml:space="preserve"> impacts in real life</w:t>
      </w:r>
      <w:r w:rsidRPr="00752F58">
        <w:t xml:space="preserve">. </w:t>
      </w:r>
      <w:r w:rsidR="006C54D1" w:rsidRPr="006C54D1">
        <w:t xml:space="preserve">Overall, the two internal mass modeling approaches have very different emphases. </w:t>
      </w:r>
      <w:r w:rsidR="00604970">
        <w:t xml:space="preserve">The </w:t>
      </w:r>
      <w:r w:rsidR="006C54D1">
        <w:t>I</w:t>
      </w:r>
      <w:r w:rsidR="006C54D1" w:rsidRPr="006C54D1">
        <w:t xml:space="preserve">nternalMass object focuses on the long-term effects of internal mass, while the zone air capacitance approach focuses more on the short-term damping effects. </w:t>
      </w:r>
      <w:r w:rsidR="00B57922" w:rsidRPr="00B57922">
        <w:t>While the two approaches do not bring significant differences in peak load estimation, they do produce different dynamic in terms of temperature simulation, which may lead to different conclusions for studies focusing on temperature dynamics, such as studies on load flexibility, control strategies, zone temperature setpoint reset strategies, space habitability after power outages, thermal autonomy, and other related topics.</w:t>
      </w:r>
      <w:r w:rsidR="00B57922">
        <w:t xml:space="preserve"> </w:t>
      </w:r>
      <w:r w:rsidR="006C54D1" w:rsidRPr="006C54D1">
        <w:t xml:space="preserve">Therefore, </w:t>
      </w:r>
      <w:r>
        <w:t>appropriate</w:t>
      </w:r>
      <w:r w:rsidR="006C54D1" w:rsidRPr="006C54D1">
        <w:t xml:space="preserve"> internal mass modeling is essential </w:t>
      </w:r>
      <w:r>
        <w:t xml:space="preserve">for </w:t>
      </w:r>
      <w:r w:rsidR="00DF0BBB">
        <w:t xml:space="preserve">a </w:t>
      </w:r>
      <w:r>
        <w:t>physics-based simulation study</w:t>
      </w:r>
      <w:r w:rsidR="006C54D1" w:rsidRPr="006C54D1">
        <w:t xml:space="preserve">. For studies </w:t>
      </w:r>
      <w:r>
        <w:t>that involve</w:t>
      </w:r>
      <w:r w:rsidR="006C54D1" w:rsidRPr="006C54D1">
        <w:t xml:space="preserve"> EnergyPlus physics-based building simulations </w:t>
      </w:r>
      <w:r>
        <w:t>in which</w:t>
      </w:r>
      <w:r w:rsidR="006C54D1" w:rsidRPr="006C54D1">
        <w:t xml:space="preserve"> the definition of a so-called </w:t>
      </w:r>
      <w:r>
        <w:t>“</w:t>
      </w:r>
      <w:r w:rsidR="006C54D1" w:rsidRPr="006C54D1">
        <w:t>typical</w:t>
      </w:r>
      <w:r>
        <w:t>”</w:t>
      </w:r>
      <w:r w:rsidR="006C54D1" w:rsidRPr="006C54D1">
        <w:t xml:space="preserve"> internal mass</w:t>
      </w:r>
      <w:r>
        <w:t xml:space="preserve"> is desired</w:t>
      </w:r>
      <w:r w:rsidR="006C54D1" w:rsidRPr="006C54D1">
        <w:t xml:space="preserve">, we believe that it is a good practice to </w:t>
      </w:r>
      <w:r w:rsidR="00F32EA3">
        <w:t>adopt</w:t>
      </w:r>
      <w:r w:rsidR="006C54D1" w:rsidRPr="006C54D1">
        <w:t xml:space="preserve"> both the </w:t>
      </w:r>
      <w:r>
        <w:t>“</w:t>
      </w:r>
      <w:r w:rsidR="006C54D1" w:rsidRPr="006C54D1">
        <w:t>typical</w:t>
      </w:r>
      <w:r>
        <w:t>”</w:t>
      </w:r>
      <w:r w:rsidR="006C54D1" w:rsidRPr="006C54D1">
        <w:t xml:space="preserve"> internal mass </w:t>
      </w:r>
      <w:r w:rsidR="00F32EA3">
        <w:t xml:space="preserve">surface </w:t>
      </w:r>
      <w:r w:rsidR="006C54D1" w:rsidRPr="006C54D1">
        <w:t>area</w:t>
      </w:r>
      <w:r>
        <w:t xml:space="preserve"> as defined in the commercial prototype building models </w:t>
      </w:r>
      <w:r w:rsidR="00A257AD">
        <w:fldChar w:fldCharType="begin"/>
      </w:r>
      <w:r w:rsidR="00A257AD">
        <w:instrText xml:space="preserve"> ADDIN EN.CITE &lt;EndNote&gt;&lt;Cite&gt;&lt;Author&gt;U.S. Department of Energy&lt;/Author&gt;&lt;Year&gt;n.d.&lt;/Year&gt;&lt;RecNum&gt;2&lt;/RecNum&gt;&lt;DisplayText&gt;(U.S. Department of Energy, n.d.)&lt;/DisplayText&gt;&lt;record&gt;&lt;rec-number&gt;2&lt;/rec-number&gt;&lt;foreign-keys&gt;&lt;key app="EN" db-id="e2epp5xvs9p5skexse7xssf5tpsprs5zep5d" timestamp="1611608563"&gt;2&lt;/key&gt;&lt;/foreign-keys&gt;&lt;ref-type name="Web Page"&gt;12&lt;/ref-type&gt;&lt;contributors&gt;&lt;authors&gt;&lt;author&gt;U.S. Department of Energy,&lt;/author&gt;&lt;/authors&gt;&lt;/contributors&gt;&lt;titles&gt;&lt;title&gt;Commercial Prototype Building Models&lt;/title&gt;&lt;/titles&gt;&lt;dates&gt;&lt;year&gt;n.d.&lt;/year&gt;&lt;/dates&gt;&lt;urls&gt;&lt;related-urls&gt;&lt;url&gt;https://www.energycodes.gov/development/commercial/prototype_models&lt;/url&gt;&lt;/related-urls&gt;&lt;/urls&gt;&lt;/record&gt;&lt;/Cite&gt;&lt;/EndNote&gt;</w:instrText>
      </w:r>
      <w:r w:rsidR="00A257AD">
        <w:fldChar w:fldCharType="separate"/>
      </w:r>
      <w:r w:rsidR="00A257AD">
        <w:rPr>
          <w:noProof/>
        </w:rPr>
        <w:t>(U.S. Department of Energy, n.d.)</w:t>
      </w:r>
      <w:r w:rsidR="00A257AD">
        <w:fldChar w:fldCharType="end"/>
      </w:r>
      <w:r w:rsidR="00A257AD">
        <w:t xml:space="preserve"> </w:t>
      </w:r>
      <w:r w:rsidR="006C54D1" w:rsidRPr="006C54D1">
        <w:t xml:space="preserve">and the </w:t>
      </w:r>
      <w:r>
        <w:t>“</w:t>
      </w:r>
      <w:r w:rsidR="006C54D1" w:rsidRPr="006C54D1">
        <w:t>typical</w:t>
      </w:r>
      <w:r>
        <w:t>”</w:t>
      </w:r>
      <w:r w:rsidR="006C54D1" w:rsidRPr="006C54D1">
        <w:t xml:space="preserve"> </w:t>
      </w:r>
      <w:r>
        <w:t>temperature capacity multiplier</w:t>
      </w:r>
      <w:r w:rsidR="00A741A2">
        <w:t xml:space="preserve"> of 8 </w:t>
      </w:r>
      <w:r>
        <w:t>suggested by</w:t>
      </w:r>
      <w:r w:rsidR="00A257AD">
        <w:t xml:space="preserve"> </w:t>
      </w:r>
      <w:r w:rsidR="00A257AD">
        <w:fldChar w:fldCharType="begin"/>
      </w:r>
      <w:r w:rsidR="00A257AD">
        <w:instrText xml:space="preserve"> ADDIN EN.CITE &lt;EndNote&gt;&lt;Cite&gt;&lt;Author&gt;Lee&lt;/Author&gt;&lt;Year&gt;2017&lt;/Year&gt;&lt;RecNum&gt;181&lt;/RecNum&gt;&lt;DisplayText&gt;(Lee &amp;amp; Hong, 2017)&lt;/DisplayText&gt;&lt;record&gt;&lt;rec-number&gt;181&lt;/rec-number&gt;&lt;foreign-keys&gt;&lt;key app="EN" db-id="e2epp5xvs9p5skexse7xssf5tpsprs5zep5d" timestamp="1630350891"&gt;181&lt;/key&gt;&lt;/foreign-keys&gt;&lt;ref-type name="Conference Proceedings"&gt;10&lt;/ref-type&gt;&lt;contributors&gt;&lt;authors&gt;&lt;author&gt;Lee, San Hoon&lt;/author&gt;&lt;author&gt;Hong, Tianzhen&lt;/author&gt;&lt;/authors&gt;&lt;/contributors&gt;&lt;titles&gt;&lt;title&gt;Leveraging zone air temperature data to improve physics-based energy simulation of existing buildings&lt;/title&gt;&lt;secondary-title&gt;15th IBPSA Conference San Francisco, CA, USA, Aug. 7-9, 2017&lt;/secondary-title&gt;&lt;/titles&gt;&lt;dates&gt;&lt;year&gt;2017&lt;/year&gt;&lt;/dates&gt;&lt;urls&gt;&lt;/urls&gt;&lt;/record&gt;&lt;/Cite&gt;&lt;/EndNote&gt;</w:instrText>
      </w:r>
      <w:r w:rsidR="00A257AD">
        <w:fldChar w:fldCharType="separate"/>
      </w:r>
      <w:r w:rsidR="00A257AD">
        <w:rPr>
          <w:noProof/>
        </w:rPr>
        <w:t xml:space="preserve">Lee </w:t>
      </w:r>
      <w:r w:rsidR="00BE35D6">
        <w:rPr>
          <w:noProof/>
        </w:rPr>
        <w:t>and</w:t>
      </w:r>
      <w:r w:rsidR="00A257AD">
        <w:rPr>
          <w:noProof/>
        </w:rPr>
        <w:t xml:space="preserve"> Hong </w:t>
      </w:r>
      <w:r w:rsidR="00BE35D6">
        <w:rPr>
          <w:noProof/>
        </w:rPr>
        <w:t>(</w:t>
      </w:r>
      <w:r w:rsidR="00A257AD">
        <w:rPr>
          <w:noProof/>
        </w:rPr>
        <w:t>2017)</w:t>
      </w:r>
      <w:r w:rsidR="00A257AD">
        <w:fldChar w:fldCharType="end"/>
      </w:r>
      <w:r w:rsidR="006C54D1" w:rsidRPr="006C54D1">
        <w:t>.</w:t>
      </w:r>
      <w:r>
        <w:t xml:space="preserve"> </w:t>
      </w:r>
      <w:r w:rsidR="006C54D1" w:rsidRPr="006C54D1">
        <w:t xml:space="preserve">The authors would like to emphasize that in practical applications it is necessary to use a </w:t>
      </w:r>
      <w:r>
        <w:t>hybrid</w:t>
      </w:r>
      <w:r w:rsidR="006C54D1" w:rsidRPr="006C54D1">
        <w:t xml:space="preserve"> approach and to calibrate the parameters of both </w:t>
      </w:r>
      <w:r>
        <w:t>approaches</w:t>
      </w:r>
      <w:r w:rsidR="006C54D1" w:rsidRPr="006C54D1">
        <w:t xml:space="preserve"> simultaneously</w:t>
      </w:r>
      <w:r w:rsidR="00B342D8">
        <w:rPr>
          <w:lang w:eastAsia="zh-CN"/>
        </w:rPr>
        <w:t xml:space="preserve">, because </w:t>
      </w:r>
      <w:r w:rsidR="00B342D8">
        <w:t xml:space="preserve">the </w:t>
      </w:r>
      <w:r w:rsidR="00B342D8" w:rsidRPr="00F32EA3">
        <w:t>hybrid approach can yield more realistic zone temperature dynamics</w:t>
      </w:r>
      <w:r w:rsidR="00B342D8">
        <w:t xml:space="preserve">, especially </w:t>
      </w:r>
      <w:r w:rsidR="00B342D8" w:rsidRPr="00F32EA3">
        <w:t>when the zone is conditioned with heat pump systems with on/off cycling</w:t>
      </w:r>
      <w:r w:rsidR="00B342D8" w:rsidRPr="006C54D1">
        <w:t>.</w:t>
      </w:r>
    </w:p>
    <w:p w14:paraId="0D91A876" w14:textId="01FD2DA9" w:rsidR="003B1201" w:rsidRDefault="007A361B" w:rsidP="003B1201">
      <w:r>
        <w:fldChar w:fldCharType="begin"/>
      </w:r>
      <w:r>
        <w:instrText xml:space="preserve"> ADDIN EN.CITE &lt;EndNote&gt;&lt;Cite&gt;&lt;Author&gt;Lee&lt;/Author&gt;&lt;Year&gt;2017&lt;/Year&gt;&lt;RecNum&gt;181&lt;/RecNum&gt;&lt;DisplayText&gt;(Lee &amp;amp; Hong, 2017)&lt;/DisplayText&gt;&lt;record&gt;&lt;rec-number&gt;181&lt;/rec-number&gt;&lt;foreign-keys&gt;&lt;key app="EN" db-id="e2epp5xvs9p5skexse7xssf5tpsprs5zep5d" timestamp="1630350891"&gt;181&lt;/key&gt;&lt;/foreign-keys&gt;&lt;ref-type name="Conference Proceedings"&gt;10&lt;/ref-type&gt;&lt;contributors&gt;&lt;authors&gt;&lt;author&gt;Lee, San Hoon&lt;/author&gt;&lt;author&gt;Hong, Tianzhen&lt;/author&gt;&lt;/authors&gt;&lt;/contributors&gt;&lt;titles&gt;&lt;title&gt;Leveraging zone air temperature data to improve physics-based energy simulation of existing buildings&lt;/title&gt;&lt;secondary-title&gt;15th IBPSA Conference San Francisco, CA, USA, Aug. 7-9, 2017&lt;/secondary-title&gt;&lt;/titles&gt;&lt;dates&gt;&lt;year&gt;2017&lt;/year&gt;&lt;/dates&gt;&lt;urls&gt;&lt;/urls&gt;&lt;/record&gt;&lt;/Cite&gt;&lt;/EndNote&gt;</w:instrText>
      </w:r>
      <w:r>
        <w:fldChar w:fldCharType="separate"/>
      </w:r>
      <w:r>
        <w:rPr>
          <w:noProof/>
        </w:rPr>
        <w:t xml:space="preserve">Lee </w:t>
      </w:r>
      <w:r w:rsidR="00BE35D6">
        <w:rPr>
          <w:noProof/>
        </w:rPr>
        <w:t>and</w:t>
      </w:r>
      <w:r>
        <w:rPr>
          <w:noProof/>
        </w:rPr>
        <w:t xml:space="preserve"> Hong </w:t>
      </w:r>
      <w:r w:rsidR="00BE35D6">
        <w:rPr>
          <w:noProof/>
        </w:rPr>
        <w:t>(</w:t>
      </w:r>
      <w:r>
        <w:rPr>
          <w:noProof/>
        </w:rPr>
        <w:t>2017)</w:t>
      </w:r>
      <w:r>
        <w:fldChar w:fldCharType="end"/>
      </w:r>
      <w:r>
        <w:t xml:space="preserve"> </w:t>
      </w:r>
      <w:r w:rsidR="00A43936">
        <w:t>provides</w:t>
      </w:r>
      <w:r>
        <w:t xml:space="preserve"> a very reliable inverse method for determining </w:t>
      </w:r>
      <w:r w:rsidR="008244CD">
        <w:t xml:space="preserve">the </w:t>
      </w:r>
      <w:r>
        <w:t xml:space="preserve">temperature capacity multiplier using high-fidelity lab data. However, this method is heavily dependent on the completeness and lack of uncertainty of the dataset. </w:t>
      </w:r>
      <w:r w:rsidR="006C54D1" w:rsidRPr="006C54D1">
        <w:t xml:space="preserve">Future research </w:t>
      </w:r>
      <w:r>
        <w:t>is needed</w:t>
      </w:r>
      <w:r w:rsidR="00C432F9">
        <w:t xml:space="preserve"> </w:t>
      </w:r>
      <w:r w:rsidR="001421D7">
        <w:t>to</w:t>
      </w:r>
      <w:r w:rsidR="00C432F9">
        <w:t xml:space="preserve"> </w:t>
      </w:r>
      <w:r w:rsidR="001421D7">
        <w:t>effectively estimate</w:t>
      </w:r>
      <w:r w:rsidR="00C432F9">
        <w:t xml:space="preserve"> the two internal mass parameters </w:t>
      </w:r>
      <w:r w:rsidR="001421D7">
        <w:t xml:space="preserve">simultaneously </w:t>
      </w:r>
      <w:r w:rsidR="00C432F9">
        <w:t xml:space="preserve">using limited </w:t>
      </w:r>
      <w:r>
        <w:t xml:space="preserve">and uncertain </w:t>
      </w:r>
      <w:r w:rsidR="00C432F9">
        <w:t>HVAC operation</w:t>
      </w:r>
      <w:r w:rsidR="00A00520">
        <w:t>al</w:t>
      </w:r>
      <w:r w:rsidR="00C432F9">
        <w:t xml:space="preserve"> data</w:t>
      </w:r>
      <w:r w:rsidR="001421D7">
        <w:t xml:space="preserve">. </w:t>
      </w:r>
      <w:r w:rsidR="001421D7" w:rsidRPr="001421D7">
        <w:t xml:space="preserve">With a clear understanding of the physical </w:t>
      </w:r>
      <w:r w:rsidR="001421D7">
        <w:t>principle</w:t>
      </w:r>
      <w:r w:rsidR="001421D7" w:rsidRPr="001421D7">
        <w:t xml:space="preserve"> of the </w:t>
      </w:r>
      <w:r w:rsidR="001421D7">
        <w:t>heat balance equation</w:t>
      </w:r>
      <w:r w:rsidR="001421D7" w:rsidRPr="001421D7">
        <w:t xml:space="preserve">, we may be able to obtain these important parameters by fitting </w:t>
      </w:r>
      <w:r w:rsidR="001421D7">
        <w:t>exponential models to the data</w:t>
      </w:r>
      <w:r w:rsidR="001421D7" w:rsidRPr="001421D7">
        <w:t>.</w:t>
      </w:r>
    </w:p>
    <w:p w14:paraId="7EC5A3F1" w14:textId="77777777" w:rsidR="003525D5" w:rsidRDefault="003525D5" w:rsidP="003525D5">
      <w:pPr>
        <w:pStyle w:val="Heading1"/>
      </w:pPr>
      <w:r>
        <w:t>Acknowledgement</w:t>
      </w:r>
    </w:p>
    <w:p w14:paraId="68CD5561" w14:textId="142EF000" w:rsidR="003B1201" w:rsidRDefault="003525D5" w:rsidP="003B1201">
      <w:r w:rsidRPr="00D84860">
        <w:t>This study is partially funded by the United States Department of Energy via grant EE-0009153. The views and opinions of authors expressed herein do not necessarily state or reflect those of the United States Government or any agency thereof.</w:t>
      </w:r>
    </w:p>
    <w:p w14:paraId="0CCDA783" w14:textId="650BB7A9" w:rsidR="00F74AF6" w:rsidRDefault="00F74AF6" w:rsidP="00FD4023">
      <w:pPr>
        <w:pStyle w:val="Heading1"/>
      </w:pPr>
      <w:r>
        <w:t>Nomenclature</w:t>
      </w:r>
    </w:p>
    <w:p w14:paraId="27BE2489" w14:textId="2CF965A7" w:rsidR="00F74AF6" w:rsidRDefault="00F74AF6" w:rsidP="00F74AF6">
      <w:pPr>
        <w:rPr>
          <w:color w:val="000000"/>
        </w:rPr>
      </w:pPr>
      <m:oMath>
        <m:r>
          <w:rPr>
            <w:rFonts w:ascii="Cambria Math" w:hAnsi="Cambria Math"/>
            <w:color w:val="000000"/>
          </w:rPr>
          <m:t>t</m:t>
        </m:r>
      </m:oMath>
      <w:r>
        <w:rPr>
          <w:color w:val="000000"/>
        </w:rPr>
        <w:t xml:space="preserve"> </w:t>
      </w:r>
      <w:r>
        <w:rPr>
          <w:color w:val="000000"/>
        </w:rPr>
        <w:tab/>
        <w:t>= time</w:t>
      </w:r>
    </w:p>
    <w:p w14:paraId="610B35D0" w14:textId="77777777"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m:t>
            </m:r>
          </m:sub>
        </m:sSub>
      </m:oMath>
      <w:r w:rsidR="00F74AF6">
        <w:rPr>
          <w:color w:val="000000"/>
        </w:rPr>
        <w:tab/>
        <w:t>= zone air temperature</w:t>
      </w:r>
    </w:p>
    <w:p w14:paraId="7710029E" w14:textId="77777777"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Z</m:t>
            </m:r>
          </m:sub>
        </m:sSub>
      </m:oMath>
      <w:r w:rsidR="00F74AF6">
        <w:rPr>
          <w:color w:val="000000"/>
        </w:rPr>
        <w:t xml:space="preserve"> </w:t>
      </w:r>
      <w:r w:rsidR="00F74AF6">
        <w:rPr>
          <w:color w:val="000000"/>
        </w:rPr>
        <w:tab/>
        <w:t>= zone air heat capacitance</w:t>
      </w:r>
    </w:p>
    <w:p w14:paraId="680896A9" w14:textId="77777777" w:rsidR="00F74AF6" w:rsidRDefault="00ED2FC2" w:rsidP="00F74AF6">
      <w:pPr>
        <w:rPr>
          <w:color w:val="000000"/>
        </w:rPr>
      </w:pPr>
      <m:oMath>
        <m:nary>
          <m:naryPr>
            <m:chr m:val="∑"/>
            <m:limLoc m:val="undOvr"/>
            <m:ctrlPr>
              <w:rPr>
                <w:rFonts w:ascii="Cambria Math" w:hAnsi="Cambria Math"/>
                <w:i/>
                <w:color w:val="000000"/>
              </w:rPr>
            </m:ctrlPr>
          </m:naryPr>
          <m:sub>
            <m:r>
              <w:rPr>
                <w:rFonts w:ascii="Cambria Math" w:hAnsi="Cambria Math"/>
                <w:color w:val="000000"/>
              </w:rPr>
              <m:t>i=1</m:t>
            </m:r>
          </m:sub>
          <m:sup>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sl</m:t>
                </m:r>
              </m:sub>
            </m:sSub>
          </m:sup>
          <m:e>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Q</m:t>
                    </m:r>
                  </m:e>
                </m:acc>
              </m:e>
              <m:sub>
                <m:r>
                  <w:rPr>
                    <w:rFonts w:ascii="Cambria Math" w:hAnsi="Cambria Math"/>
                    <w:color w:val="000000"/>
                  </w:rPr>
                  <m:t>i</m:t>
                </m:r>
              </m:sub>
            </m:sSub>
          </m:e>
        </m:nary>
      </m:oMath>
      <w:r w:rsidR="00F74AF6">
        <w:rPr>
          <w:color w:val="000000"/>
        </w:rPr>
        <w:tab/>
        <w:t>= sum of the convective internal loads</w:t>
      </w:r>
    </w:p>
    <w:p w14:paraId="44E4477C" w14:textId="77777777"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oMath>
      <w:r w:rsidR="00F74AF6">
        <w:rPr>
          <w:color w:val="000000"/>
        </w:rPr>
        <w:tab/>
        <w:t>= air specific heat</w:t>
      </w:r>
    </w:p>
    <w:p w14:paraId="72A6508B" w14:textId="77777777"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i</m:t>
            </m:r>
          </m:sub>
        </m:sSub>
      </m:oMath>
      <w:r w:rsidR="00F74AF6">
        <w:rPr>
          <w:color w:val="000000"/>
        </w:rPr>
        <w:tab/>
        <w:t xml:space="preserve">= convective heat transfer coefficient of surface </w:t>
      </w:r>
      <m:oMath>
        <m:r>
          <w:rPr>
            <w:rFonts w:ascii="Cambria Math" w:hAnsi="Cambria Math"/>
            <w:color w:val="000000"/>
          </w:rPr>
          <m:t>i</m:t>
        </m:r>
      </m:oMath>
    </w:p>
    <w:p w14:paraId="40BB5B80" w14:textId="037B5501"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oMath>
      <w:r w:rsidR="00F74AF6">
        <w:rPr>
          <w:color w:val="000000"/>
        </w:rPr>
        <w:tab/>
        <w:t xml:space="preserve">= surface area of surface </w:t>
      </w:r>
      <m:oMath>
        <m:r>
          <w:rPr>
            <w:rFonts w:ascii="Cambria Math" w:hAnsi="Cambria Math"/>
            <w:color w:val="000000"/>
          </w:rPr>
          <m:t>i</m:t>
        </m:r>
      </m:oMath>
    </w:p>
    <w:p w14:paraId="288D87D1" w14:textId="21A9DD38"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si</m:t>
            </m:r>
          </m:sub>
        </m:sSub>
      </m:oMath>
      <w:r w:rsidR="00F74AF6">
        <w:rPr>
          <w:color w:val="000000"/>
        </w:rPr>
        <w:t xml:space="preserve"> </w:t>
      </w:r>
      <w:r w:rsidR="00F74AF6">
        <w:rPr>
          <w:color w:val="000000"/>
        </w:rPr>
        <w:tab/>
        <w:t xml:space="preserve">= surface temperature of surface </w:t>
      </w:r>
      <m:oMath>
        <m:r>
          <w:rPr>
            <w:rFonts w:ascii="Cambria Math" w:hAnsi="Cambria Math"/>
            <w:color w:val="000000"/>
          </w:rPr>
          <m:t>i</m:t>
        </m:r>
      </m:oMath>
    </w:p>
    <w:p w14:paraId="5ACF9622" w14:textId="77777777" w:rsidR="00F74AF6" w:rsidRDefault="00ED2FC2" w:rsidP="00F74AF6">
      <w:pPr>
        <w:rPr>
          <w:color w:val="000000"/>
        </w:rPr>
      </w:pP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m:t>
            </m:r>
          </m:sub>
        </m:sSub>
      </m:oMath>
      <w:r w:rsidR="00F74AF6">
        <w:rPr>
          <w:color w:val="000000"/>
        </w:rPr>
        <w:tab/>
        <w:t xml:space="preserve">= mass flow rate from the adjacent zone </w:t>
      </w:r>
      <m:oMath>
        <m:r>
          <w:rPr>
            <w:rFonts w:ascii="Cambria Math" w:hAnsi="Cambria Math"/>
            <w:color w:val="000000"/>
          </w:rPr>
          <m:t>i</m:t>
        </m:r>
      </m:oMath>
      <w:r w:rsidR="00F74AF6">
        <w:rPr>
          <w:color w:val="000000"/>
        </w:rPr>
        <w:t xml:space="preserve"> </w:t>
      </w:r>
    </w:p>
    <w:p w14:paraId="5394DC3E" w14:textId="77777777"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zi</m:t>
            </m:r>
          </m:sub>
        </m:sSub>
      </m:oMath>
      <w:r w:rsidR="00F74AF6">
        <w:rPr>
          <w:color w:val="000000"/>
        </w:rPr>
        <w:t xml:space="preserve"> </w:t>
      </w:r>
      <w:r w:rsidR="00F74AF6">
        <w:rPr>
          <w:color w:val="000000"/>
        </w:rPr>
        <w:tab/>
        <w:t xml:space="preserve">= zone temperature of the adjacent zone </w:t>
      </w:r>
      <m:oMath>
        <m:r>
          <w:rPr>
            <w:rFonts w:ascii="Cambria Math" w:hAnsi="Cambria Math"/>
            <w:color w:val="000000"/>
          </w:rPr>
          <m:t>i</m:t>
        </m:r>
      </m:oMath>
    </w:p>
    <w:p w14:paraId="20350087" w14:textId="77777777" w:rsidR="00F74AF6" w:rsidRDefault="00ED2FC2" w:rsidP="00F74AF6">
      <w:pPr>
        <w:rPr>
          <w:color w:val="000000"/>
        </w:rPr>
      </w:pP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inf</m:t>
            </m:r>
          </m:sub>
        </m:sSub>
      </m:oMath>
      <w:r w:rsidR="00F74AF6">
        <w:rPr>
          <w:color w:val="000000"/>
        </w:rPr>
        <w:tab/>
        <w:t>= infiltrated air mass flow rate</w:t>
      </w:r>
    </w:p>
    <w:p w14:paraId="39216F42" w14:textId="77777777" w:rsidR="00F74AF6" w:rsidRDefault="00ED2FC2" w:rsidP="00F74AF6">
      <w:pPr>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o</m:t>
            </m:r>
          </m:sub>
        </m:sSub>
      </m:oMath>
      <w:r w:rsidR="00F74AF6">
        <w:rPr>
          <w:color w:val="000000"/>
        </w:rPr>
        <w:tab/>
        <w:t>= outdoor air temperature</w:t>
      </w:r>
    </w:p>
    <w:p w14:paraId="2CDE1D0A" w14:textId="353710C5" w:rsidR="00F74AF6" w:rsidRDefault="00ED2FC2" w:rsidP="00F74AF6">
      <w:pPr>
        <w:rPr>
          <w:color w:val="000000"/>
        </w:rPr>
      </w:pP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m</m:t>
                </m:r>
              </m:e>
            </m:acc>
          </m:e>
          <m:sub>
            <m:r>
              <w:rPr>
                <w:rFonts w:ascii="Cambria Math" w:hAnsi="Cambria Math"/>
                <w:color w:val="000000"/>
              </w:rPr>
              <m:t>sup</m:t>
            </m:r>
          </m:sub>
        </m:sSub>
      </m:oMath>
      <w:r w:rsidR="00F74AF6">
        <w:rPr>
          <w:color w:val="000000"/>
        </w:rPr>
        <w:tab/>
        <w:t>= supply air mass flow rate of the HVAC system</w:t>
      </w:r>
    </w:p>
    <w:p w14:paraId="3E74463A" w14:textId="5F6D61A2" w:rsidR="00F74AF6" w:rsidRDefault="00F74AF6" w:rsidP="00F74AF6">
      <w:r>
        <w:rPr>
          <w:color w:val="000000"/>
        </w:rPr>
        <w:t xml:space="preserve">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sup</m:t>
            </m:r>
          </m:sub>
        </m:sSub>
      </m:oMath>
      <w:r>
        <w:rPr>
          <w:color w:val="000000"/>
        </w:rPr>
        <w:tab/>
        <w:t>= supply air temperature of the HVAC system</w:t>
      </w:r>
    </w:p>
    <w:p w14:paraId="310757E6" w14:textId="48A00889" w:rsidR="002A1585" w:rsidRPr="00FD4023" w:rsidRDefault="00DB7A1F" w:rsidP="00FD4023">
      <w:pPr>
        <w:pStyle w:val="Heading1"/>
      </w:pPr>
      <w:r>
        <w:t>References</w:t>
      </w:r>
    </w:p>
    <w:p w14:paraId="0FD20BF9" w14:textId="2C622CFC" w:rsidR="00323D58" w:rsidRPr="00323D58" w:rsidRDefault="002A1585" w:rsidP="00323D58">
      <w:pPr>
        <w:pStyle w:val="EndNoteBibliography"/>
        <w:spacing w:after="0"/>
        <w:ind w:left="720" w:hanging="720"/>
        <w:jc w:val="left"/>
      </w:pPr>
      <w:r w:rsidRPr="002A1585">
        <w:rPr>
          <w:color w:val="000000"/>
        </w:rPr>
        <w:fldChar w:fldCharType="begin"/>
      </w:r>
      <w:r w:rsidRPr="002A1585">
        <w:rPr>
          <w:color w:val="000000"/>
        </w:rPr>
        <w:instrText xml:space="preserve"> ADDIN EN.REFLIST </w:instrText>
      </w:r>
      <w:r w:rsidRPr="002A1585">
        <w:rPr>
          <w:color w:val="000000"/>
        </w:rPr>
        <w:fldChar w:fldCharType="separate"/>
      </w:r>
      <w:r w:rsidR="00323D58" w:rsidRPr="00323D58">
        <w:t xml:space="preserve">Cetin, K. S., Fathollahzadeh, M. H., Kunwar, N., Do, H., &amp; Tabares-Velasco, P. C. (2019). Development and validation of an HVAC on/off controller in EnergyPlus for energy simulation of residential and small commercial buildings. </w:t>
      </w:r>
      <w:r w:rsidR="00323D58" w:rsidRPr="00323D58">
        <w:rPr>
          <w:i/>
        </w:rPr>
        <w:t>Energy and Buildings, 183</w:t>
      </w:r>
      <w:r w:rsidR="00323D58" w:rsidRPr="00323D58">
        <w:t>, 467-483. doi:</w:t>
      </w:r>
      <w:hyperlink r:id="rId22" w:history="1">
        <w:r w:rsidR="00323D58" w:rsidRPr="00323D58">
          <w:rPr>
            <w:rStyle w:val="Hyperlink"/>
          </w:rPr>
          <w:t>https://doi.org/10.1016/j.enbuild.2018.11.005</w:t>
        </w:r>
      </w:hyperlink>
    </w:p>
    <w:p w14:paraId="1C36383B" w14:textId="77777777" w:rsidR="00323D58" w:rsidRPr="00323D58" w:rsidRDefault="00323D58" w:rsidP="00323D58">
      <w:pPr>
        <w:pStyle w:val="EndNoteBibliography"/>
        <w:spacing w:after="0"/>
        <w:ind w:left="720" w:hanging="720"/>
        <w:jc w:val="left"/>
      </w:pPr>
      <w:r w:rsidRPr="00323D58">
        <w:lastRenderedPageBreak/>
        <w:t xml:space="preserve">Chen, Y. (2019). </w:t>
      </w:r>
      <w:r w:rsidRPr="00323D58">
        <w:rPr>
          <w:i/>
        </w:rPr>
        <w:t>Data-driven Whole Building Fault Detection and Diagnosis</w:t>
      </w:r>
      <w:r w:rsidRPr="00323D58">
        <w:t>: Drexel University.</w:t>
      </w:r>
    </w:p>
    <w:p w14:paraId="0B62A000" w14:textId="77777777" w:rsidR="00323D58" w:rsidRPr="00323D58" w:rsidRDefault="00323D58" w:rsidP="00323D58">
      <w:pPr>
        <w:pStyle w:val="EndNoteBibliography"/>
        <w:spacing w:after="0"/>
        <w:ind w:left="720" w:hanging="720"/>
        <w:jc w:val="left"/>
      </w:pPr>
      <w:r w:rsidRPr="00323D58">
        <w:t xml:space="preserve">Crawley, D. B., Lawrie, L. K., Winkelmann, F. C., Buhl, W. F., Huang, Y. J., Pedersen, C. O., . . . Witte, M. J. (2001). EnergyPlus: creating a new-generation building energy simulation program. </w:t>
      </w:r>
      <w:r w:rsidRPr="00323D58">
        <w:rPr>
          <w:i/>
        </w:rPr>
        <w:t>Energy and Buildings, 33</w:t>
      </w:r>
      <w:r w:rsidRPr="00323D58">
        <w:t xml:space="preserve">(4), 319-331. </w:t>
      </w:r>
    </w:p>
    <w:p w14:paraId="6F277679" w14:textId="77777777" w:rsidR="00323D58" w:rsidRPr="00323D58" w:rsidRDefault="00323D58" w:rsidP="00323D58">
      <w:pPr>
        <w:pStyle w:val="EndNoteBibliography"/>
        <w:spacing w:after="0"/>
        <w:ind w:left="720" w:hanging="720"/>
        <w:jc w:val="left"/>
      </w:pPr>
      <w:r w:rsidRPr="00323D58">
        <w:t xml:space="preserve">Lee, S. H., &amp; Hong, T. (2017). </w:t>
      </w:r>
      <w:r w:rsidRPr="00323D58">
        <w:rPr>
          <w:i/>
        </w:rPr>
        <w:t>Leveraging zone air temperature data to improve physics-based energy simulation of existing buildings.</w:t>
      </w:r>
      <w:r w:rsidRPr="00323D58">
        <w:t xml:space="preserve"> Paper presented at the 15th IBPSA Conference San Francisco, CA, USA, Aug. 7-9, 2017.</w:t>
      </w:r>
    </w:p>
    <w:p w14:paraId="0254E703" w14:textId="77777777" w:rsidR="00323D58" w:rsidRPr="00323D58" w:rsidRDefault="00323D58" w:rsidP="00323D58">
      <w:pPr>
        <w:pStyle w:val="EndNoteBibliography"/>
        <w:spacing w:after="0"/>
        <w:ind w:left="720" w:hanging="720"/>
        <w:jc w:val="left"/>
      </w:pPr>
      <w:r w:rsidRPr="00323D58">
        <w:t xml:space="preserve">Raftery, P., Lee, E., Webster, T., Hoyt, T., &amp; Bauman, F. (2014). Effects of furniture and contents on peak cooling load. </w:t>
      </w:r>
      <w:r w:rsidRPr="00323D58">
        <w:rPr>
          <w:i/>
        </w:rPr>
        <w:t>Energy and Buildings, 85</w:t>
      </w:r>
      <w:r w:rsidRPr="00323D58">
        <w:t xml:space="preserve">, 445-457. </w:t>
      </w:r>
    </w:p>
    <w:p w14:paraId="679FB25F" w14:textId="649BADAB" w:rsidR="00323D58" w:rsidRPr="00323D58" w:rsidRDefault="00323D58" w:rsidP="00323D58">
      <w:pPr>
        <w:pStyle w:val="EndNoteBibliography"/>
        <w:spacing w:after="0"/>
        <w:ind w:left="720" w:hanging="720"/>
        <w:jc w:val="left"/>
      </w:pPr>
      <w:r w:rsidRPr="00323D58">
        <w:t xml:space="preserve">U.S. Department of Energy. (2020a). Basis for the Zone and Air System Integration. </w:t>
      </w:r>
      <w:r w:rsidRPr="00323D58">
        <w:rPr>
          <w:i/>
        </w:rPr>
        <w:t>Engineering Reference - EnergyPlus 9.3.</w:t>
      </w:r>
      <w:r w:rsidRPr="00323D58">
        <w:t xml:space="preserve"> Retrieved from </w:t>
      </w:r>
      <w:hyperlink r:id="rId23" w:anchor="basis-for-the-zone-and-air-system-integration" w:history="1">
        <w:r w:rsidRPr="00323D58">
          <w:rPr>
            <w:rStyle w:val="Hyperlink"/>
          </w:rPr>
          <w:t>https://bigladdersoftware.com/epx/docs/9-3/engineering-reference/basis-for-the-zone-and-</w:t>
        </w:r>
        <w:r w:rsidRPr="00323D58">
          <w:rPr>
            <w:rStyle w:val="Hyperlink"/>
          </w:rPr>
          <w:t>air-system-integration.html#basis-for-the-zone-and-air-system-integration</w:t>
        </w:r>
      </w:hyperlink>
    </w:p>
    <w:p w14:paraId="549C2502" w14:textId="220AB224" w:rsidR="00323D58" w:rsidRPr="00323D58" w:rsidRDefault="00323D58" w:rsidP="00323D58">
      <w:pPr>
        <w:pStyle w:val="EndNoteBibliography"/>
        <w:spacing w:after="0"/>
        <w:ind w:left="720" w:hanging="720"/>
        <w:jc w:val="left"/>
      </w:pPr>
      <w:r w:rsidRPr="00323D58">
        <w:t xml:space="preserve">U.S. Department of Energy. (2020b). Internal thermal mass hybrid modeling method. </w:t>
      </w:r>
      <w:r w:rsidRPr="00323D58">
        <w:rPr>
          <w:i/>
        </w:rPr>
        <w:t>Engineering Reference - EnergyPlus 9.3.</w:t>
      </w:r>
      <w:r w:rsidRPr="00323D58">
        <w:t xml:space="preserve"> Retrieved from </w:t>
      </w:r>
      <w:hyperlink r:id="rId24" w:anchor="basis-for-the-zone-and-air-system-integration" w:history="1">
        <w:r w:rsidRPr="00323D58">
          <w:rPr>
            <w:rStyle w:val="Hyperlink"/>
          </w:rPr>
          <w:t>https://bigladdersoftware.com/epx/docs/9-3/engineering-reference/basis-for-the-zone-and-air-system-integration.html#basis-for-the-zone-and-air-system-integration</w:t>
        </w:r>
      </w:hyperlink>
    </w:p>
    <w:p w14:paraId="327792DC" w14:textId="06C12C52" w:rsidR="00323D58" w:rsidRPr="00323D58" w:rsidRDefault="00323D58" w:rsidP="00323D58">
      <w:pPr>
        <w:pStyle w:val="EndNoteBibliography"/>
        <w:spacing w:after="0"/>
        <w:ind w:left="720" w:hanging="720"/>
        <w:jc w:val="left"/>
      </w:pPr>
      <w:r w:rsidRPr="00323D58">
        <w:t xml:space="preserve">U.S. Department of Energy. (n.d.). Commercial Prototype Building Models. Retrieved from </w:t>
      </w:r>
      <w:hyperlink r:id="rId25" w:history="1">
        <w:r w:rsidRPr="00323D58">
          <w:rPr>
            <w:rStyle w:val="Hyperlink"/>
          </w:rPr>
          <w:t>https://www.energycodes.gov/development/commercial/prototype_models</w:t>
        </w:r>
      </w:hyperlink>
    </w:p>
    <w:p w14:paraId="0B04833D" w14:textId="77777777" w:rsidR="00323D58" w:rsidRPr="00323D58" w:rsidRDefault="00323D58" w:rsidP="00323D58">
      <w:pPr>
        <w:pStyle w:val="EndNoteBibliography"/>
        <w:ind w:left="720" w:hanging="720"/>
        <w:jc w:val="left"/>
      </w:pPr>
      <w:r w:rsidRPr="00323D58">
        <w:t xml:space="preserve">Wen, J., &amp; Li, S. (2011). Tools for evaluating fault detection and diagnostic methods for air-handling units. </w:t>
      </w:r>
      <w:r w:rsidRPr="00323D58">
        <w:rPr>
          <w:i/>
        </w:rPr>
        <w:t>ASHRAE RP-1312 Final Report, ASHRAE, Atlanta</w:t>
      </w:r>
      <w:r w:rsidRPr="00323D58">
        <w:t xml:space="preserve">. </w:t>
      </w:r>
    </w:p>
    <w:p w14:paraId="7E47AA23" w14:textId="19E89763" w:rsidR="001209CB" w:rsidRPr="001209CB" w:rsidRDefault="002A1585" w:rsidP="00323D58">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ind w:left="284" w:hanging="284"/>
        <w:jc w:val="left"/>
      </w:pPr>
      <w:r w:rsidRPr="002A1585">
        <w:rPr>
          <w:color w:val="000000"/>
        </w:rPr>
        <w:fldChar w:fldCharType="end"/>
      </w:r>
    </w:p>
    <w:p w14:paraId="37A56829" w14:textId="400A2A3B" w:rsidR="000C67B8" w:rsidRDefault="000C67B8" w:rsidP="00270E1F">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ind w:left="284" w:hanging="284"/>
        <w:rPr>
          <w:color w:val="000000"/>
        </w:rPr>
      </w:pPr>
    </w:p>
    <w:p w14:paraId="5F99B86C" w14:textId="08C87DBB" w:rsidR="000C67B8" w:rsidRDefault="000C67B8" w:rsidP="00FD4023">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rPr>
          <w:color w:val="000000"/>
        </w:rPr>
        <w:sectPr w:rsidR="000C67B8">
          <w:type w:val="continuous"/>
          <w:pgSz w:w="12240" w:h="15840"/>
          <w:pgMar w:top="1418" w:right="1134" w:bottom="1418" w:left="1134" w:header="720" w:footer="720" w:gutter="0"/>
          <w:cols w:num="2" w:space="720" w:equalWidth="0">
            <w:col w:w="4759" w:space="454"/>
            <w:col w:w="4759" w:space="0"/>
          </w:cols>
        </w:sectPr>
      </w:pPr>
    </w:p>
    <w:p w14:paraId="6F5482B4" w14:textId="2FD7932D" w:rsidR="000C67B8" w:rsidRPr="00FD4023" w:rsidRDefault="000C67B8" w:rsidP="00FD4023">
      <w:pPr>
        <w:spacing w:after="0"/>
      </w:pPr>
    </w:p>
    <w:sectPr w:rsidR="000C67B8" w:rsidRPr="00FD4023">
      <w:type w:val="continuous"/>
      <w:pgSz w:w="12240" w:h="15840"/>
      <w:pgMar w:top="1418" w:right="1134" w:bottom="141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5B45C" w14:textId="77777777" w:rsidR="00ED2FC2" w:rsidRDefault="00ED2FC2">
      <w:pPr>
        <w:spacing w:after="0"/>
      </w:pPr>
      <w:r>
        <w:separator/>
      </w:r>
    </w:p>
  </w:endnote>
  <w:endnote w:type="continuationSeparator" w:id="0">
    <w:p w14:paraId="386F7EEC" w14:textId="77777777" w:rsidR="00ED2FC2" w:rsidRDefault="00ED2F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0734" w14:textId="77777777" w:rsidR="002D1335" w:rsidRDefault="002D1335">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2383" w14:textId="77777777" w:rsidR="002D1335" w:rsidRDefault="002D1335">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A4B" w14:textId="77777777" w:rsidR="002D1335" w:rsidRDefault="002D1335">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A357" w14:textId="77777777" w:rsidR="00ED2FC2" w:rsidRDefault="00ED2FC2">
      <w:pPr>
        <w:spacing w:after="0"/>
      </w:pPr>
      <w:r>
        <w:separator/>
      </w:r>
    </w:p>
  </w:footnote>
  <w:footnote w:type="continuationSeparator" w:id="0">
    <w:p w14:paraId="19ADED60" w14:textId="77777777" w:rsidR="00ED2FC2" w:rsidRDefault="00ED2F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FAC1" w14:textId="77777777" w:rsidR="002D1335" w:rsidRDefault="002D1335">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C513" w14:textId="77777777" w:rsidR="002D1335" w:rsidRDefault="002D1335">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690A" w14:textId="77777777" w:rsidR="002D1335" w:rsidRDefault="002D1335">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4094C"/>
    <w:multiLevelType w:val="multilevel"/>
    <w:tmpl w:val="B74EE342"/>
    <w:lvl w:ilvl="0">
      <w:start w:val="1"/>
      <w:numFmt w:val="bullet"/>
      <w:pStyle w:val="Bulletedwinden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BBF25E1"/>
    <w:multiLevelType w:val="multilevel"/>
    <w:tmpl w:val="D8166B5C"/>
    <w:lvl w:ilvl="0">
      <w:start w:val="1"/>
      <w:numFmt w:val="decimal"/>
      <w:pStyle w:val="Bulletwoinden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D700F9F"/>
    <w:multiLevelType w:val="multilevel"/>
    <w:tmpl w:val="F76E031C"/>
    <w:lvl w:ilvl="0">
      <w:start w:val="1"/>
      <w:numFmt w:val="decimal"/>
      <w:pStyle w:val="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16125627">
    <w:abstractNumId w:val="1"/>
  </w:num>
  <w:num w:numId="2" w16cid:durableId="1114328252">
    <w:abstractNumId w:val="0"/>
  </w:num>
  <w:num w:numId="3" w16cid:durableId="903219529">
    <w:abstractNumId w:val="2"/>
  </w:num>
  <w:num w:numId="4" w16cid:durableId="2056809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epp5xvs9p5skexse7xssf5tpsprs5zep5d&quot;&gt;HILFT&lt;record-ids&gt;&lt;item&gt;2&lt;/item&gt;&lt;item&gt;138&lt;/item&gt;&lt;item&gt;173&lt;/item&gt;&lt;item&gt;180&lt;/item&gt;&lt;item&gt;181&lt;/item&gt;&lt;item&gt;230&lt;/item&gt;&lt;item&gt;232&lt;/item&gt;&lt;item&gt;238&lt;/item&gt;&lt;item&gt;239&lt;/item&gt;&lt;/record-ids&gt;&lt;/item&gt;&lt;/Libraries&gt;"/>
  </w:docVars>
  <w:rsids>
    <w:rsidRoot w:val="000C67B8"/>
    <w:rsid w:val="00002D72"/>
    <w:rsid w:val="00013F67"/>
    <w:rsid w:val="0003089E"/>
    <w:rsid w:val="000346C5"/>
    <w:rsid w:val="00036DE3"/>
    <w:rsid w:val="000402F7"/>
    <w:rsid w:val="00040602"/>
    <w:rsid w:val="00042233"/>
    <w:rsid w:val="00052967"/>
    <w:rsid w:val="0005473A"/>
    <w:rsid w:val="00057435"/>
    <w:rsid w:val="000630B3"/>
    <w:rsid w:val="00070CBC"/>
    <w:rsid w:val="00091479"/>
    <w:rsid w:val="000935E0"/>
    <w:rsid w:val="000A70B1"/>
    <w:rsid w:val="000A7443"/>
    <w:rsid w:val="000B2477"/>
    <w:rsid w:val="000B4DBD"/>
    <w:rsid w:val="000C3666"/>
    <w:rsid w:val="000C427A"/>
    <w:rsid w:val="000C5AA0"/>
    <w:rsid w:val="000C66B9"/>
    <w:rsid w:val="000C67B8"/>
    <w:rsid w:val="000F169B"/>
    <w:rsid w:val="000F1B9B"/>
    <w:rsid w:val="000F2E0D"/>
    <w:rsid w:val="000F31C7"/>
    <w:rsid w:val="000F387D"/>
    <w:rsid w:val="000F6E55"/>
    <w:rsid w:val="001014E8"/>
    <w:rsid w:val="0011615A"/>
    <w:rsid w:val="001209CB"/>
    <w:rsid w:val="0013154E"/>
    <w:rsid w:val="001371AD"/>
    <w:rsid w:val="0013757D"/>
    <w:rsid w:val="001400D0"/>
    <w:rsid w:val="00141CF3"/>
    <w:rsid w:val="001421D7"/>
    <w:rsid w:val="0014346E"/>
    <w:rsid w:val="00144911"/>
    <w:rsid w:val="001450D6"/>
    <w:rsid w:val="001451A5"/>
    <w:rsid w:val="0015180F"/>
    <w:rsid w:val="00153F56"/>
    <w:rsid w:val="00190A02"/>
    <w:rsid w:val="001940EC"/>
    <w:rsid w:val="0019509C"/>
    <w:rsid w:val="0019600B"/>
    <w:rsid w:val="00197051"/>
    <w:rsid w:val="001A0BD3"/>
    <w:rsid w:val="001A3785"/>
    <w:rsid w:val="001A442C"/>
    <w:rsid w:val="001B682A"/>
    <w:rsid w:val="001D0257"/>
    <w:rsid w:val="001D0955"/>
    <w:rsid w:val="001D153C"/>
    <w:rsid w:val="001E404D"/>
    <w:rsid w:val="001E4238"/>
    <w:rsid w:val="001E7C98"/>
    <w:rsid w:val="0021585B"/>
    <w:rsid w:val="00222EBE"/>
    <w:rsid w:val="002236EA"/>
    <w:rsid w:val="00231C04"/>
    <w:rsid w:val="00237595"/>
    <w:rsid w:val="002508F8"/>
    <w:rsid w:val="002513A6"/>
    <w:rsid w:val="00251572"/>
    <w:rsid w:val="00255D74"/>
    <w:rsid w:val="00260C37"/>
    <w:rsid w:val="00264484"/>
    <w:rsid w:val="0026691B"/>
    <w:rsid w:val="00270E1F"/>
    <w:rsid w:val="002767DE"/>
    <w:rsid w:val="00277179"/>
    <w:rsid w:val="00286AF4"/>
    <w:rsid w:val="00295CE4"/>
    <w:rsid w:val="002A09EC"/>
    <w:rsid w:val="002A1585"/>
    <w:rsid w:val="002A24E5"/>
    <w:rsid w:val="002A3168"/>
    <w:rsid w:val="002B06A3"/>
    <w:rsid w:val="002B0969"/>
    <w:rsid w:val="002B4E48"/>
    <w:rsid w:val="002D1335"/>
    <w:rsid w:val="002D4BC9"/>
    <w:rsid w:val="002E08DF"/>
    <w:rsid w:val="002F0918"/>
    <w:rsid w:val="002F0C95"/>
    <w:rsid w:val="00300C8F"/>
    <w:rsid w:val="00312E6B"/>
    <w:rsid w:val="00314DA6"/>
    <w:rsid w:val="00316622"/>
    <w:rsid w:val="00323D58"/>
    <w:rsid w:val="0033302F"/>
    <w:rsid w:val="0034072A"/>
    <w:rsid w:val="003429F6"/>
    <w:rsid w:val="00344779"/>
    <w:rsid w:val="003525D5"/>
    <w:rsid w:val="0035515D"/>
    <w:rsid w:val="00362E48"/>
    <w:rsid w:val="00376402"/>
    <w:rsid w:val="003806AF"/>
    <w:rsid w:val="00393637"/>
    <w:rsid w:val="00395127"/>
    <w:rsid w:val="00395F80"/>
    <w:rsid w:val="003A2E6D"/>
    <w:rsid w:val="003B1201"/>
    <w:rsid w:val="003D6BF0"/>
    <w:rsid w:val="003F1CA7"/>
    <w:rsid w:val="0040212A"/>
    <w:rsid w:val="00406201"/>
    <w:rsid w:val="00420C55"/>
    <w:rsid w:val="00424458"/>
    <w:rsid w:val="00425CE2"/>
    <w:rsid w:val="00435C71"/>
    <w:rsid w:val="0044280C"/>
    <w:rsid w:val="00447683"/>
    <w:rsid w:val="00452D22"/>
    <w:rsid w:val="004604FE"/>
    <w:rsid w:val="00463E85"/>
    <w:rsid w:val="00475989"/>
    <w:rsid w:val="0047685E"/>
    <w:rsid w:val="0048205E"/>
    <w:rsid w:val="0048447A"/>
    <w:rsid w:val="00484940"/>
    <w:rsid w:val="00484A65"/>
    <w:rsid w:val="00485DF4"/>
    <w:rsid w:val="00493F55"/>
    <w:rsid w:val="004B3F61"/>
    <w:rsid w:val="004B59F2"/>
    <w:rsid w:val="004C5093"/>
    <w:rsid w:val="004C6505"/>
    <w:rsid w:val="0050142B"/>
    <w:rsid w:val="00503AA6"/>
    <w:rsid w:val="005067C7"/>
    <w:rsid w:val="00510797"/>
    <w:rsid w:val="00525F42"/>
    <w:rsid w:val="00527D67"/>
    <w:rsid w:val="00532627"/>
    <w:rsid w:val="005331C9"/>
    <w:rsid w:val="00541FEF"/>
    <w:rsid w:val="00542A20"/>
    <w:rsid w:val="0054694E"/>
    <w:rsid w:val="00550D84"/>
    <w:rsid w:val="00551665"/>
    <w:rsid w:val="00551F0D"/>
    <w:rsid w:val="005577EF"/>
    <w:rsid w:val="00570844"/>
    <w:rsid w:val="00595FA5"/>
    <w:rsid w:val="00596721"/>
    <w:rsid w:val="00596D4F"/>
    <w:rsid w:val="005C098C"/>
    <w:rsid w:val="005C4240"/>
    <w:rsid w:val="005C460C"/>
    <w:rsid w:val="005C6698"/>
    <w:rsid w:val="005D4F61"/>
    <w:rsid w:val="005E211E"/>
    <w:rsid w:val="005E2ABE"/>
    <w:rsid w:val="005E310D"/>
    <w:rsid w:val="005F0C11"/>
    <w:rsid w:val="005F4A72"/>
    <w:rsid w:val="00603D2B"/>
    <w:rsid w:val="00604970"/>
    <w:rsid w:val="00605D6B"/>
    <w:rsid w:val="006204F5"/>
    <w:rsid w:val="00621D82"/>
    <w:rsid w:val="00623305"/>
    <w:rsid w:val="00626440"/>
    <w:rsid w:val="00635590"/>
    <w:rsid w:val="00636150"/>
    <w:rsid w:val="006437E3"/>
    <w:rsid w:val="0064750A"/>
    <w:rsid w:val="00650445"/>
    <w:rsid w:val="006568A9"/>
    <w:rsid w:val="00657093"/>
    <w:rsid w:val="00670634"/>
    <w:rsid w:val="006724E4"/>
    <w:rsid w:val="00672DB5"/>
    <w:rsid w:val="0067384E"/>
    <w:rsid w:val="006751C4"/>
    <w:rsid w:val="00682E8C"/>
    <w:rsid w:val="006A52AB"/>
    <w:rsid w:val="006C4444"/>
    <w:rsid w:val="006C4F4B"/>
    <w:rsid w:val="006C54D1"/>
    <w:rsid w:val="006C6E0E"/>
    <w:rsid w:val="006E087C"/>
    <w:rsid w:val="006E65F6"/>
    <w:rsid w:val="006F52B6"/>
    <w:rsid w:val="006F7E1E"/>
    <w:rsid w:val="0070027A"/>
    <w:rsid w:val="00701A0B"/>
    <w:rsid w:val="00703100"/>
    <w:rsid w:val="00704F01"/>
    <w:rsid w:val="00721FC4"/>
    <w:rsid w:val="00723C98"/>
    <w:rsid w:val="00724CFE"/>
    <w:rsid w:val="00725ED6"/>
    <w:rsid w:val="00730304"/>
    <w:rsid w:val="00742555"/>
    <w:rsid w:val="007427FF"/>
    <w:rsid w:val="00742F0F"/>
    <w:rsid w:val="00746B16"/>
    <w:rsid w:val="007505C4"/>
    <w:rsid w:val="00751409"/>
    <w:rsid w:val="007514D0"/>
    <w:rsid w:val="007514E9"/>
    <w:rsid w:val="00751825"/>
    <w:rsid w:val="00752F58"/>
    <w:rsid w:val="0077234A"/>
    <w:rsid w:val="00772450"/>
    <w:rsid w:val="0077389E"/>
    <w:rsid w:val="00775217"/>
    <w:rsid w:val="00781CDA"/>
    <w:rsid w:val="00784E47"/>
    <w:rsid w:val="007A0F16"/>
    <w:rsid w:val="007A361B"/>
    <w:rsid w:val="007A5733"/>
    <w:rsid w:val="007B1DA5"/>
    <w:rsid w:val="007B246E"/>
    <w:rsid w:val="007B33DC"/>
    <w:rsid w:val="007B3E68"/>
    <w:rsid w:val="007C0611"/>
    <w:rsid w:val="007D1995"/>
    <w:rsid w:val="007D3963"/>
    <w:rsid w:val="007E2E13"/>
    <w:rsid w:val="007E44EB"/>
    <w:rsid w:val="007E7D95"/>
    <w:rsid w:val="007F175C"/>
    <w:rsid w:val="00801E6E"/>
    <w:rsid w:val="00803815"/>
    <w:rsid w:val="0080564C"/>
    <w:rsid w:val="00805AF7"/>
    <w:rsid w:val="00805C4B"/>
    <w:rsid w:val="00806C55"/>
    <w:rsid w:val="00807A7E"/>
    <w:rsid w:val="008138A7"/>
    <w:rsid w:val="008171DC"/>
    <w:rsid w:val="008205DE"/>
    <w:rsid w:val="008244CD"/>
    <w:rsid w:val="00833819"/>
    <w:rsid w:val="008347C0"/>
    <w:rsid w:val="00853075"/>
    <w:rsid w:val="0086252F"/>
    <w:rsid w:val="00871732"/>
    <w:rsid w:val="00871FB5"/>
    <w:rsid w:val="00880A54"/>
    <w:rsid w:val="008865F4"/>
    <w:rsid w:val="00887A01"/>
    <w:rsid w:val="00893E6C"/>
    <w:rsid w:val="0089458E"/>
    <w:rsid w:val="008B0A27"/>
    <w:rsid w:val="008B3E7E"/>
    <w:rsid w:val="008B4DFC"/>
    <w:rsid w:val="008C20B7"/>
    <w:rsid w:val="008C22F5"/>
    <w:rsid w:val="008D2561"/>
    <w:rsid w:val="008E2B3C"/>
    <w:rsid w:val="008F1F98"/>
    <w:rsid w:val="008F451C"/>
    <w:rsid w:val="008F6CAD"/>
    <w:rsid w:val="008F7B9D"/>
    <w:rsid w:val="00906218"/>
    <w:rsid w:val="009075F2"/>
    <w:rsid w:val="00912C5D"/>
    <w:rsid w:val="009272DE"/>
    <w:rsid w:val="009406B0"/>
    <w:rsid w:val="00945A0C"/>
    <w:rsid w:val="009556A5"/>
    <w:rsid w:val="0096311B"/>
    <w:rsid w:val="00963890"/>
    <w:rsid w:val="009672C6"/>
    <w:rsid w:val="0097456C"/>
    <w:rsid w:val="0098023F"/>
    <w:rsid w:val="00981E98"/>
    <w:rsid w:val="00982557"/>
    <w:rsid w:val="009841D9"/>
    <w:rsid w:val="00984518"/>
    <w:rsid w:val="0098517C"/>
    <w:rsid w:val="0099046D"/>
    <w:rsid w:val="00991A75"/>
    <w:rsid w:val="00991C08"/>
    <w:rsid w:val="009945AC"/>
    <w:rsid w:val="00997A42"/>
    <w:rsid w:val="009B1D64"/>
    <w:rsid w:val="009B4CD1"/>
    <w:rsid w:val="009C6ACA"/>
    <w:rsid w:val="009E2E34"/>
    <w:rsid w:val="009F37AC"/>
    <w:rsid w:val="00A00520"/>
    <w:rsid w:val="00A00F23"/>
    <w:rsid w:val="00A01469"/>
    <w:rsid w:val="00A02390"/>
    <w:rsid w:val="00A05A25"/>
    <w:rsid w:val="00A1083C"/>
    <w:rsid w:val="00A257AD"/>
    <w:rsid w:val="00A31E30"/>
    <w:rsid w:val="00A32D09"/>
    <w:rsid w:val="00A37072"/>
    <w:rsid w:val="00A432B6"/>
    <w:rsid w:val="00A43936"/>
    <w:rsid w:val="00A51948"/>
    <w:rsid w:val="00A653B7"/>
    <w:rsid w:val="00A72833"/>
    <w:rsid w:val="00A741A2"/>
    <w:rsid w:val="00A75609"/>
    <w:rsid w:val="00A75714"/>
    <w:rsid w:val="00A8720B"/>
    <w:rsid w:val="00A91BBB"/>
    <w:rsid w:val="00A95657"/>
    <w:rsid w:val="00A9648F"/>
    <w:rsid w:val="00AA2B58"/>
    <w:rsid w:val="00AA31D0"/>
    <w:rsid w:val="00AA4199"/>
    <w:rsid w:val="00AC1568"/>
    <w:rsid w:val="00AC2933"/>
    <w:rsid w:val="00AD33FC"/>
    <w:rsid w:val="00AD66BF"/>
    <w:rsid w:val="00AE11F4"/>
    <w:rsid w:val="00AE4463"/>
    <w:rsid w:val="00B00A56"/>
    <w:rsid w:val="00B01A79"/>
    <w:rsid w:val="00B01FDE"/>
    <w:rsid w:val="00B13059"/>
    <w:rsid w:val="00B16584"/>
    <w:rsid w:val="00B2702C"/>
    <w:rsid w:val="00B278FE"/>
    <w:rsid w:val="00B31E43"/>
    <w:rsid w:val="00B342D8"/>
    <w:rsid w:val="00B37E8D"/>
    <w:rsid w:val="00B406AF"/>
    <w:rsid w:val="00B40D86"/>
    <w:rsid w:val="00B5080A"/>
    <w:rsid w:val="00B5789E"/>
    <w:rsid w:val="00B57922"/>
    <w:rsid w:val="00B626BE"/>
    <w:rsid w:val="00B66333"/>
    <w:rsid w:val="00B82043"/>
    <w:rsid w:val="00B8245A"/>
    <w:rsid w:val="00B8527E"/>
    <w:rsid w:val="00B8729C"/>
    <w:rsid w:val="00B9155B"/>
    <w:rsid w:val="00B91A39"/>
    <w:rsid w:val="00B96BD2"/>
    <w:rsid w:val="00BA63E2"/>
    <w:rsid w:val="00BB61A0"/>
    <w:rsid w:val="00BB7662"/>
    <w:rsid w:val="00BC2708"/>
    <w:rsid w:val="00BD0CE6"/>
    <w:rsid w:val="00BD2B51"/>
    <w:rsid w:val="00BD39F6"/>
    <w:rsid w:val="00BD48A4"/>
    <w:rsid w:val="00BE35D6"/>
    <w:rsid w:val="00BE6BAD"/>
    <w:rsid w:val="00BF2411"/>
    <w:rsid w:val="00BF5D78"/>
    <w:rsid w:val="00C02816"/>
    <w:rsid w:val="00C03AED"/>
    <w:rsid w:val="00C04192"/>
    <w:rsid w:val="00C10CCF"/>
    <w:rsid w:val="00C1171D"/>
    <w:rsid w:val="00C2241B"/>
    <w:rsid w:val="00C23718"/>
    <w:rsid w:val="00C24AAD"/>
    <w:rsid w:val="00C30EBB"/>
    <w:rsid w:val="00C33AE2"/>
    <w:rsid w:val="00C35E77"/>
    <w:rsid w:val="00C41BF6"/>
    <w:rsid w:val="00C432F9"/>
    <w:rsid w:val="00C461B1"/>
    <w:rsid w:val="00C517C0"/>
    <w:rsid w:val="00C5279F"/>
    <w:rsid w:val="00C531E5"/>
    <w:rsid w:val="00C62AC4"/>
    <w:rsid w:val="00C64D1B"/>
    <w:rsid w:val="00C7272D"/>
    <w:rsid w:val="00C74427"/>
    <w:rsid w:val="00C74803"/>
    <w:rsid w:val="00C76735"/>
    <w:rsid w:val="00C80782"/>
    <w:rsid w:val="00C92B4F"/>
    <w:rsid w:val="00CA0A00"/>
    <w:rsid w:val="00CA1ADD"/>
    <w:rsid w:val="00CA1C25"/>
    <w:rsid w:val="00CA6D98"/>
    <w:rsid w:val="00CB3142"/>
    <w:rsid w:val="00CB3EFE"/>
    <w:rsid w:val="00CB75BB"/>
    <w:rsid w:val="00CC5518"/>
    <w:rsid w:val="00CD1878"/>
    <w:rsid w:val="00CD31E1"/>
    <w:rsid w:val="00CD3DEB"/>
    <w:rsid w:val="00CD49C7"/>
    <w:rsid w:val="00CE06C6"/>
    <w:rsid w:val="00CE085D"/>
    <w:rsid w:val="00CE66E7"/>
    <w:rsid w:val="00CF26FB"/>
    <w:rsid w:val="00CF45CA"/>
    <w:rsid w:val="00CF5A7C"/>
    <w:rsid w:val="00D00AE5"/>
    <w:rsid w:val="00D14148"/>
    <w:rsid w:val="00D20EA1"/>
    <w:rsid w:val="00D25827"/>
    <w:rsid w:val="00D471B9"/>
    <w:rsid w:val="00D5096D"/>
    <w:rsid w:val="00D5179F"/>
    <w:rsid w:val="00D671C3"/>
    <w:rsid w:val="00D74BD8"/>
    <w:rsid w:val="00D75E26"/>
    <w:rsid w:val="00D778AD"/>
    <w:rsid w:val="00D808D3"/>
    <w:rsid w:val="00D84860"/>
    <w:rsid w:val="00D85F46"/>
    <w:rsid w:val="00D90FFF"/>
    <w:rsid w:val="00D91AAD"/>
    <w:rsid w:val="00D92182"/>
    <w:rsid w:val="00D944C4"/>
    <w:rsid w:val="00D9700E"/>
    <w:rsid w:val="00DA2572"/>
    <w:rsid w:val="00DB0CDC"/>
    <w:rsid w:val="00DB1575"/>
    <w:rsid w:val="00DB3BFF"/>
    <w:rsid w:val="00DB43D0"/>
    <w:rsid w:val="00DB4EF8"/>
    <w:rsid w:val="00DB7A1F"/>
    <w:rsid w:val="00DC242D"/>
    <w:rsid w:val="00DC5675"/>
    <w:rsid w:val="00DC6925"/>
    <w:rsid w:val="00DC79AF"/>
    <w:rsid w:val="00DD0504"/>
    <w:rsid w:val="00DD0FED"/>
    <w:rsid w:val="00DD1975"/>
    <w:rsid w:val="00DD2532"/>
    <w:rsid w:val="00DE3B15"/>
    <w:rsid w:val="00DF0BBB"/>
    <w:rsid w:val="00DF292B"/>
    <w:rsid w:val="00DF78A5"/>
    <w:rsid w:val="00E00888"/>
    <w:rsid w:val="00E03226"/>
    <w:rsid w:val="00E07D15"/>
    <w:rsid w:val="00E07D9C"/>
    <w:rsid w:val="00E12BB5"/>
    <w:rsid w:val="00E134A8"/>
    <w:rsid w:val="00E16611"/>
    <w:rsid w:val="00E22E2F"/>
    <w:rsid w:val="00E235CF"/>
    <w:rsid w:val="00E25FA1"/>
    <w:rsid w:val="00E27583"/>
    <w:rsid w:val="00E347AA"/>
    <w:rsid w:val="00E34A8F"/>
    <w:rsid w:val="00E34E96"/>
    <w:rsid w:val="00E47566"/>
    <w:rsid w:val="00E50036"/>
    <w:rsid w:val="00E50A93"/>
    <w:rsid w:val="00E55095"/>
    <w:rsid w:val="00E568E5"/>
    <w:rsid w:val="00E64110"/>
    <w:rsid w:val="00E73E13"/>
    <w:rsid w:val="00E81690"/>
    <w:rsid w:val="00E84900"/>
    <w:rsid w:val="00E93B5A"/>
    <w:rsid w:val="00E95580"/>
    <w:rsid w:val="00EA31AC"/>
    <w:rsid w:val="00EA3255"/>
    <w:rsid w:val="00EB18F7"/>
    <w:rsid w:val="00EB5925"/>
    <w:rsid w:val="00EC0E7F"/>
    <w:rsid w:val="00EC113F"/>
    <w:rsid w:val="00EC67A1"/>
    <w:rsid w:val="00ED1E7A"/>
    <w:rsid w:val="00ED2FC2"/>
    <w:rsid w:val="00ED5A2F"/>
    <w:rsid w:val="00EE065B"/>
    <w:rsid w:val="00EE220F"/>
    <w:rsid w:val="00EE37D8"/>
    <w:rsid w:val="00EE45D8"/>
    <w:rsid w:val="00EE7FD4"/>
    <w:rsid w:val="00EF41AA"/>
    <w:rsid w:val="00F02446"/>
    <w:rsid w:val="00F0394A"/>
    <w:rsid w:val="00F1557A"/>
    <w:rsid w:val="00F22B8D"/>
    <w:rsid w:val="00F24339"/>
    <w:rsid w:val="00F24C19"/>
    <w:rsid w:val="00F32EA3"/>
    <w:rsid w:val="00F4152A"/>
    <w:rsid w:val="00F44E17"/>
    <w:rsid w:val="00F5088A"/>
    <w:rsid w:val="00F51AFC"/>
    <w:rsid w:val="00F610B7"/>
    <w:rsid w:val="00F64D1E"/>
    <w:rsid w:val="00F65EFD"/>
    <w:rsid w:val="00F74AF6"/>
    <w:rsid w:val="00F90DE9"/>
    <w:rsid w:val="00FA127F"/>
    <w:rsid w:val="00FA346A"/>
    <w:rsid w:val="00FA4285"/>
    <w:rsid w:val="00FA6078"/>
    <w:rsid w:val="00FB02A8"/>
    <w:rsid w:val="00FC4E7F"/>
    <w:rsid w:val="00FC71CF"/>
    <w:rsid w:val="00FD2C1A"/>
    <w:rsid w:val="00FD3D9D"/>
    <w:rsid w:val="00FD4023"/>
    <w:rsid w:val="00FE119F"/>
    <w:rsid w:val="00FE2398"/>
    <w:rsid w:val="00FE50FB"/>
    <w:rsid w:val="00FE664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53FD4F"/>
  <w14:defaultImageDpi w14:val="330"/>
  <w15:docId w15:val="{A407CE22-3968-49BA-A6A7-E2628E7A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en-CA"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8F"/>
    <w:rPr>
      <w:lang w:val="en-US"/>
    </w:rPr>
  </w:style>
  <w:style w:type="paragraph" w:styleId="Heading1">
    <w:name w:val="heading 1"/>
    <w:basedOn w:val="Normal"/>
    <w:next w:val="Normal"/>
    <w:link w:val="Heading1Char"/>
    <w:uiPriority w:val="9"/>
    <w:qFormat/>
    <w:rsid w:val="00D14088"/>
    <w:pPr>
      <w:keepNext/>
      <w:spacing w:before="60"/>
      <w:jc w:val="left"/>
      <w:outlineLvl w:val="0"/>
    </w:pPr>
    <w:rPr>
      <w:b/>
      <w:kern w:val="28"/>
      <w:sz w:val="24"/>
    </w:rPr>
  </w:style>
  <w:style w:type="paragraph" w:styleId="Heading2">
    <w:name w:val="heading 2"/>
    <w:basedOn w:val="Normal"/>
    <w:next w:val="Normal"/>
    <w:uiPriority w:val="9"/>
    <w:unhideWhenUsed/>
    <w:qFormat/>
    <w:rsid w:val="00D14088"/>
    <w:pPr>
      <w:keepNext/>
      <w:jc w:val="left"/>
      <w:outlineLvl w:val="1"/>
    </w:pPr>
    <w:rPr>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E3F78"/>
    <w:pPr>
      <w:spacing w:after="0" w:line="280" w:lineRule="exact"/>
      <w:jc w:val="center"/>
      <w:outlineLvl w:val="0"/>
    </w:pPr>
    <w:rPr>
      <w:b/>
      <w:kern w:val="28"/>
      <w:sz w:val="24"/>
    </w:rPr>
  </w:style>
  <w:style w:type="paragraph" w:styleId="Header">
    <w:name w:val="header"/>
    <w:basedOn w:val="Normal"/>
    <w:rsid w:val="00D611C6"/>
    <w:pPr>
      <w:tabs>
        <w:tab w:val="center" w:pos="4153"/>
        <w:tab w:val="right" w:pos="8306"/>
      </w:tabs>
    </w:pPr>
  </w:style>
  <w:style w:type="paragraph" w:styleId="Footer">
    <w:name w:val="footer"/>
    <w:basedOn w:val="Normal"/>
    <w:rsid w:val="00D611C6"/>
    <w:pPr>
      <w:tabs>
        <w:tab w:val="center" w:pos="4153"/>
        <w:tab w:val="right" w:pos="8306"/>
      </w:tabs>
    </w:pPr>
  </w:style>
  <w:style w:type="paragraph" w:customStyle="1" w:styleId="Body">
    <w:name w:val="Body"/>
    <w:link w:val="BodyChar"/>
    <w:rsid w:val="00D611C6"/>
    <w:pPr>
      <w:spacing w:before="60"/>
    </w:pPr>
    <w:rPr>
      <w:noProof/>
    </w:rPr>
  </w:style>
  <w:style w:type="paragraph" w:customStyle="1" w:styleId="Bodywindent">
    <w:name w:val="Body w/ indent"/>
    <w:basedOn w:val="Body"/>
    <w:rsid w:val="00D611C6"/>
    <w:pPr>
      <w:ind w:left="340"/>
    </w:pPr>
  </w:style>
  <w:style w:type="paragraph" w:customStyle="1" w:styleId="Bulletwoindent">
    <w:name w:val="Bullet w/o indent"/>
    <w:basedOn w:val="Body"/>
    <w:link w:val="BulletwoindentChar"/>
    <w:rsid w:val="00D611C6"/>
    <w:pPr>
      <w:numPr>
        <w:numId w:val="1"/>
      </w:numPr>
      <w:tabs>
        <w:tab w:val="left" w:pos="340"/>
      </w:tabs>
      <w:spacing w:line="240" w:lineRule="exact"/>
      <w:ind w:left="340" w:hanging="340"/>
    </w:pPr>
  </w:style>
  <w:style w:type="paragraph" w:customStyle="1" w:styleId="Bulletedwindent">
    <w:name w:val="Bulleted w/indent"/>
    <w:basedOn w:val="Body"/>
    <w:rsid w:val="00D611C6"/>
    <w:pPr>
      <w:numPr>
        <w:numId w:val="2"/>
      </w:numPr>
      <w:tabs>
        <w:tab w:val="left" w:pos="340"/>
      </w:tabs>
      <w:spacing w:line="240" w:lineRule="exact"/>
      <w:ind w:left="680" w:hanging="340"/>
    </w:pPr>
  </w:style>
  <w:style w:type="paragraph" w:customStyle="1" w:styleId="Figures">
    <w:name w:val="Figure #s"/>
    <w:basedOn w:val="Normal"/>
    <w:rsid w:val="00D611C6"/>
    <w:pPr>
      <w:tabs>
        <w:tab w:val="left" w:pos="910"/>
      </w:tabs>
      <w:spacing w:line="240" w:lineRule="exact"/>
      <w:jc w:val="center"/>
    </w:pPr>
    <w:rPr>
      <w:i/>
    </w:rPr>
  </w:style>
  <w:style w:type="paragraph" w:customStyle="1" w:styleId="Numbering">
    <w:name w:val="Numbering"/>
    <w:basedOn w:val="Normal"/>
    <w:rsid w:val="00D611C6"/>
    <w:pPr>
      <w:numPr>
        <w:numId w:val="3"/>
      </w:numPr>
      <w:tabs>
        <w:tab w:val="left" w:pos="340"/>
        <w:tab w:val="left" w:pos="680"/>
      </w:tabs>
      <w:spacing w:before="60" w:line="240" w:lineRule="exact"/>
      <w:ind w:left="340" w:hanging="340"/>
    </w:pPr>
    <w:rPr>
      <w:noProof/>
    </w:rPr>
  </w:style>
  <w:style w:type="paragraph" w:customStyle="1" w:styleId="References">
    <w:name w:val="References"/>
    <w:basedOn w:val="Body"/>
    <w:link w:val="ReferencesChar"/>
    <w:rsid w:val="00D611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exact"/>
      <w:ind w:left="360" w:hanging="360"/>
    </w:pPr>
  </w:style>
  <w:style w:type="paragraph" w:customStyle="1" w:styleId="SmallSpace">
    <w:name w:val="Small Space"/>
    <w:basedOn w:val="Body"/>
    <w:rsid w:val="00D611C6"/>
    <w:pPr>
      <w:spacing w:line="60" w:lineRule="exact"/>
    </w:pPr>
    <w:rPr>
      <w:sz w:val="6"/>
    </w:rPr>
  </w:style>
  <w:style w:type="paragraph" w:customStyle="1" w:styleId="TableMainHead">
    <w:name w:val="Table Main Head"/>
    <w:basedOn w:val="Title"/>
    <w:rsid w:val="00D611C6"/>
    <w:pPr>
      <w:spacing w:line="220" w:lineRule="exact"/>
    </w:pPr>
    <w:rPr>
      <w:sz w:val="18"/>
    </w:rPr>
  </w:style>
  <w:style w:type="paragraph" w:customStyle="1" w:styleId="TableText">
    <w:name w:val="Table Text"/>
    <w:basedOn w:val="Title"/>
    <w:link w:val="TableTextChar"/>
    <w:rsid w:val="00D611C6"/>
    <w:pPr>
      <w:spacing w:line="220" w:lineRule="exact"/>
      <w:jc w:val="left"/>
    </w:pPr>
    <w:rPr>
      <w:b w:val="0"/>
      <w:caps/>
      <w:sz w:val="18"/>
    </w:rPr>
  </w:style>
  <w:style w:type="paragraph" w:customStyle="1" w:styleId="TableTitle">
    <w:name w:val="Table Title"/>
    <w:basedOn w:val="TableText"/>
    <w:rsid w:val="00D611C6"/>
    <w:pPr>
      <w:spacing w:line="240" w:lineRule="exact"/>
      <w:jc w:val="center"/>
    </w:pPr>
    <w:rPr>
      <w:i/>
      <w:sz w:val="20"/>
    </w:rPr>
  </w:style>
  <w:style w:type="paragraph" w:customStyle="1" w:styleId="Authors">
    <w:name w:val="Authors"/>
    <w:basedOn w:val="Normal"/>
    <w:qFormat/>
    <w:rsid w:val="005E3F78"/>
    <w:pPr>
      <w:spacing w:after="0" w:line="280" w:lineRule="exact"/>
      <w:jc w:val="center"/>
    </w:pPr>
    <w:rPr>
      <w:bCs/>
      <w:sz w:val="24"/>
    </w:rPr>
  </w:style>
  <w:style w:type="character" w:styleId="LineNumber">
    <w:name w:val="line number"/>
    <w:basedOn w:val="DefaultParagraphFont"/>
    <w:rsid w:val="00D611C6"/>
  </w:style>
  <w:style w:type="paragraph" w:styleId="BalloonText">
    <w:name w:val="Balloon Text"/>
    <w:basedOn w:val="Normal"/>
    <w:link w:val="BalloonTextChar"/>
    <w:rsid w:val="00531831"/>
    <w:rPr>
      <w:rFonts w:ascii="Tahoma" w:hAnsi="Tahoma" w:cs="Tahoma"/>
      <w:sz w:val="16"/>
      <w:szCs w:val="16"/>
    </w:rPr>
  </w:style>
  <w:style w:type="character" w:customStyle="1" w:styleId="BalloonTextChar">
    <w:name w:val="Balloon Text Char"/>
    <w:basedOn w:val="DefaultParagraphFont"/>
    <w:link w:val="BalloonText"/>
    <w:rsid w:val="00531831"/>
    <w:rPr>
      <w:rFonts w:ascii="Tahoma" w:hAnsi="Tahoma" w:cs="Tahoma"/>
      <w:sz w:val="16"/>
      <w:szCs w:val="16"/>
      <w:lang w:val="en-GB"/>
    </w:rPr>
  </w:style>
  <w:style w:type="character" w:styleId="PlaceholderText">
    <w:name w:val="Placeholder Text"/>
    <w:basedOn w:val="DefaultParagraphFont"/>
    <w:uiPriority w:val="99"/>
    <w:semiHidden/>
    <w:rsid w:val="00854D80"/>
    <w:rPr>
      <w:color w:val="808080"/>
    </w:rPr>
  </w:style>
  <w:style w:type="table" w:styleId="TableGrid">
    <w:name w:val="Table Grid"/>
    <w:basedOn w:val="TableNormal"/>
    <w:rsid w:val="00DA4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14088"/>
    <w:rPr>
      <w:b/>
      <w:kern w:val="28"/>
      <w:sz w:val="24"/>
      <w:lang w:val="en-GB"/>
    </w:rPr>
  </w:style>
  <w:style w:type="paragraph" w:styleId="DocumentMap">
    <w:name w:val="Document Map"/>
    <w:basedOn w:val="Normal"/>
    <w:link w:val="DocumentMapChar"/>
    <w:semiHidden/>
    <w:unhideWhenUsed/>
    <w:rsid w:val="004A2AB7"/>
    <w:rPr>
      <w:sz w:val="24"/>
      <w:szCs w:val="24"/>
    </w:rPr>
  </w:style>
  <w:style w:type="character" w:customStyle="1" w:styleId="DocumentMapChar">
    <w:name w:val="Document Map Char"/>
    <w:basedOn w:val="DefaultParagraphFont"/>
    <w:link w:val="DocumentMap"/>
    <w:semiHidden/>
    <w:rsid w:val="004A2AB7"/>
    <w:rPr>
      <w:sz w:val="24"/>
      <w:szCs w:val="24"/>
      <w:lang w:val="en-GB"/>
    </w:rPr>
  </w:style>
  <w:style w:type="character" w:styleId="CommentReference">
    <w:name w:val="annotation reference"/>
    <w:basedOn w:val="DefaultParagraphFont"/>
    <w:semiHidden/>
    <w:unhideWhenUsed/>
    <w:rsid w:val="00D82A4F"/>
    <w:rPr>
      <w:sz w:val="16"/>
      <w:szCs w:val="16"/>
    </w:rPr>
  </w:style>
  <w:style w:type="paragraph" w:styleId="CommentText">
    <w:name w:val="annotation text"/>
    <w:basedOn w:val="Normal"/>
    <w:link w:val="CommentTextChar"/>
    <w:unhideWhenUsed/>
    <w:rsid w:val="00D82A4F"/>
  </w:style>
  <w:style w:type="character" w:customStyle="1" w:styleId="CommentTextChar">
    <w:name w:val="Comment Text Char"/>
    <w:basedOn w:val="DefaultParagraphFont"/>
    <w:link w:val="CommentText"/>
    <w:rsid w:val="00D82A4F"/>
    <w:rPr>
      <w:lang w:val="en-GB"/>
    </w:rPr>
  </w:style>
  <w:style w:type="paragraph" w:styleId="CommentSubject">
    <w:name w:val="annotation subject"/>
    <w:basedOn w:val="CommentText"/>
    <w:next w:val="CommentText"/>
    <w:link w:val="CommentSubjectChar"/>
    <w:semiHidden/>
    <w:unhideWhenUsed/>
    <w:rsid w:val="00D82A4F"/>
    <w:rPr>
      <w:b/>
      <w:bCs/>
    </w:rPr>
  </w:style>
  <w:style w:type="character" w:customStyle="1" w:styleId="CommentSubjectChar">
    <w:name w:val="Comment Subject Char"/>
    <w:basedOn w:val="CommentTextChar"/>
    <w:link w:val="CommentSubject"/>
    <w:semiHidden/>
    <w:rsid w:val="00D82A4F"/>
    <w:rPr>
      <w:b/>
      <w:bCs/>
      <w:lang w:val="en-GB"/>
    </w:rPr>
  </w:style>
  <w:style w:type="paragraph" w:customStyle="1" w:styleId="Reference">
    <w:name w:val="Reference"/>
    <w:basedOn w:val="References"/>
    <w:link w:val="ReferenceChar"/>
    <w:qFormat/>
    <w:rsid w:val="00133330"/>
    <w:pPr>
      <w:ind w:left="284" w:hanging="284"/>
    </w:pPr>
  </w:style>
  <w:style w:type="paragraph" w:customStyle="1" w:styleId="Equation">
    <w:name w:val="Equation"/>
    <w:basedOn w:val="Body"/>
    <w:next w:val="Body"/>
    <w:qFormat/>
    <w:rsid w:val="003A7FD3"/>
    <w:pPr>
      <w:tabs>
        <w:tab w:val="center" w:pos="2268"/>
        <w:tab w:val="right" w:pos="4536"/>
      </w:tabs>
      <w:jc w:val="left"/>
    </w:pPr>
  </w:style>
  <w:style w:type="character" w:customStyle="1" w:styleId="BodyChar">
    <w:name w:val="Body Char"/>
    <w:basedOn w:val="DefaultParagraphFont"/>
    <w:link w:val="Body"/>
    <w:rsid w:val="00F101A7"/>
    <w:rPr>
      <w:noProof/>
    </w:rPr>
  </w:style>
  <w:style w:type="character" w:customStyle="1" w:styleId="ReferencesChar">
    <w:name w:val="References Char"/>
    <w:basedOn w:val="BodyChar"/>
    <w:link w:val="References"/>
    <w:rsid w:val="00F101A7"/>
    <w:rPr>
      <w:noProof/>
    </w:rPr>
  </w:style>
  <w:style w:type="character" w:customStyle="1" w:styleId="ReferenceChar">
    <w:name w:val="Reference Char"/>
    <w:basedOn w:val="ReferencesChar"/>
    <w:link w:val="Reference"/>
    <w:rsid w:val="00133330"/>
    <w:rPr>
      <w:noProof/>
    </w:rPr>
  </w:style>
  <w:style w:type="character" w:styleId="BookTitle">
    <w:name w:val="Book Title"/>
    <w:basedOn w:val="DefaultParagraphFont"/>
    <w:uiPriority w:val="33"/>
    <w:rsid w:val="00BC4767"/>
    <w:rPr>
      <w:b/>
      <w:bCs/>
      <w:i/>
      <w:iCs/>
      <w:spacing w:val="5"/>
    </w:rPr>
  </w:style>
  <w:style w:type="paragraph" w:styleId="ListParagraph">
    <w:name w:val="List Paragraph"/>
    <w:basedOn w:val="Normal"/>
    <w:uiPriority w:val="34"/>
    <w:rsid w:val="00BC4767"/>
    <w:pPr>
      <w:ind w:left="720"/>
      <w:contextualSpacing/>
    </w:pPr>
  </w:style>
  <w:style w:type="paragraph" w:styleId="NoSpacing">
    <w:name w:val="No Spacing"/>
    <w:uiPriority w:val="1"/>
    <w:rsid w:val="00BC4767"/>
  </w:style>
  <w:style w:type="paragraph" w:customStyle="1" w:styleId="StyleEquationCambriaMath">
    <w:name w:val="Style Equation + Cambria Math"/>
    <w:basedOn w:val="Equation"/>
    <w:next w:val="Body"/>
    <w:rsid w:val="00374EC8"/>
  </w:style>
  <w:style w:type="paragraph" w:customStyle="1" w:styleId="StyleStyleEquationCambriaMathCambriaMath">
    <w:name w:val="Style Style Equation + Cambria Math + Cambria Math"/>
    <w:basedOn w:val="StyleEquationCambriaMath"/>
    <w:rsid w:val="005F7342"/>
  </w:style>
  <w:style w:type="paragraph" w:customStyle="1" w:styleId="Listbulleted">
    <w:name w:val="List (bulleted)"/>
    <w:basedOn w:val="Bulletwoindent"/>
    <w:link w:val="ListbulletedChar"/>
    <w:qFormat/>
    <w:rsid w:val="00C77029"/>
    <w:pPr>
      <w:spacing w:before="0" w:after="0"/>
      <w:ind w:left="284" w:hanging="284"/>
    </w:pPr>
  </w:style>
  <w:style w:type="paragraph" w:customStyle="1" w:styleId="Figure">
    <w:name w:val="Figure"/>
    <w:basedOn w:val="Normal"/>
    <w:link w:val="FigureChar"/>
    <w:qFormat/>
    <w:rsid w:val="007E27A2"/>
    <w:pPr>
      <w:spacing w:before="60"/>
      <w:jc w:val="center"/>
    </w:pPr>
  </w:style>
  <w:style w:type="character" w:customStyle="1" w:styleId="BulletwoindentChar">
    <w:name w:val="Bullet w/o indent Char"/>
    <w:basedOn w:val="BodyChar"/>
    <w:link w:val="Bulletwoindent"/>
    <w:rsid w:val="00C77029"/>
    <w:rPr>
      <w:noProof/>
    </w:rPr>
  </w:style>
  <w:style w:type="character" w:customStyle="1" w:styleId="ListbulletedChar">
    <w:name w:val="List (bulleted) Char"/>
    <w:basedOn w:val="BulletwoindentChar"/>
    <w:link w:val="Listbulleted"/>
    <w:rsid w:val="00C77029"/>
    <w:rPr>
      <w:noProof/>
    </w:rPr>
  </w:style>
  <w:style w:type="paragraph" w:customStyle="1" w:styleId="Captions">
    <w:name w:val="Captions"/>
    <w:basedOn w:val="Normal"/>
    <w:link w:val="CaptionsChar"/>
    <w:qFormat/>
    <w:rsid w:val="00CF5A7C"/>
    <w:pPr>
      <w:pBdr>
        <w:top w:val="nil"/>
        <w:left w:val="nil"/>
        <w:bottom w:val="nil"/>
        <w:right w:val="nil"/>
        <w:between w:val="nil"/>
      </w:pBdr>
      <w:jc w:val="center"/>
    </w:pPr>
    <w:rPr>
      <w:i/>
      <w:color w:val="000000"/>
    </w:rPr>
  </w:style>
  <w:style w:type="character" w:customStyle="1" w:styleId="FigureChar">
    <w:name w:val="Figure Char"/>
    <w:basedOn w:val="DefaultParagraphFont"/>
    <w:link w:val="Figure"/>
    <w:rsid w:val="007E27A2"/>
    <w:rPr>
      <w:lang w:val="en-GB"/>
    </w:rPr>
  </w:style>
  <w:style w:type="paragraph" w:customStyle="1" w:styleId="Listnumbered">
    <w:name w:val="List (numbered)"/>
    <w:basedOn w:val="Listbulleted"/>
    <w:link w:val="ListnumberedChar"/>
    <w:qFormat/>
    <w:rsid w:val="00BD02F1"/>
    <w:pPr>
      <w:numPr>
        <w:numId w:val="0"/>
      </w:numPr>
      <w:tabs>
        <w:tab w:val="num" w:pos="720"/>
      </w:tabs>
      <w:ind w:left="720" w:hanging="720"/>
    </w:pPr>
  </w:style>
  <w:style w:type="character" w:customStyle="1" w:styleId="CaptionsChar">
    <w:name w:val="Captions Char"/>
    <w:basedOn w:val="DefaultParagraphFont"/>
    <w:link w:val="Captions"/>
    <w:rsid w:val="00CF5A7C"/>
    <w:rPr>
      <w:i/>
      <w:color w:val="000000"/>
    </w:rPr>
  </w:style>
  <w:style w:type="paragraph" w:customStyle="1" w:styleId="Tables">
    <w:name w:val="Tables"/>
    <w:basedOn w:val="TableText"/>
    <w:link w:val="TablesChar"/>
    <w:qFormat/>
    <w:rsid w:val="006913D1"/>
    <w:pPr>
      <w:jc w:val="center"/>
    </w:pPr>
    <w:rPr>
      <w:caps w:val="0"/>
    </w:rPr>
  </w:style>
  <w:style w:type="character" w:customStyle="1" w:styleId="ListnumberedChar">
    <w:name w:val="List (numbered) Char"/>
    <w:basedOn w:val="ListbulletedChar"/>
    <w:link w:val="Listnumbered"/>
    <w:rsid w:val="00BD02F1"/>
    <w:rPr>
      <w:noProof/>
    </w:rPr>
  </w:style>
  <w:style w:type="character" w:customStyle="1" w:styleId="TitleChar">
    <w:name w:val="Title Char"/>
    <w:basedOn w:val="DefaultParagraphFont"/>
    <w:link w:val="Title"/>
    <w:rsid w:val="006913D1"/>
    <w:rPr>
      <w:b/>
      <w:kern w:val="28"/>
      <w:sz w:val="24"/>
      <w:lang w:val="en-GB"/>
    </w:rPr>
  </w:style>
  <w:style w:type="character" w:customStyle="1" w:styleId="TableTextChar">
    <w:name w:val="Table Text Char"/>
    <w:basedOn w:val="TitleChar"/>
    <w:link w:val="TableText"/>
    <w:rsid w:val="006913D1"/>
    <w:rPr>
      <w:b w:val="0"/>
      <w:caps/>
      <w:kern w:val="28"/>
      <w:sz w:val="18"/>
      <w:lang w:val="en-GB"/>
    </w:rPr>
  </w:style>
  <w:style w:type="character" w:customStyle="1" w:styleId="TablesChar">
    <w:name w:val="Tables Char"/>
    <w:basedOn w:val="TableTextChar"/>
    <w:link w:val="Tables"/>
    <w:rsid w:val="006913D1"/>
    <w:rPr>
      <w:b w:val="0"/>
      <w:caps w:val="0"/>
      <w:kern w:val="28"/>
      <w:sz w:val="18"/>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EndNoteBibliographyTitle">
    <w:name w:val="EndNote Bibliography Title"/>
    <w:basedOn w:val="Normal"/>
    <w:link w:val="EndNoteBibliographyTitleChar"/>
    <w:rsid w:val="001209CB"/>
    <w:pPr>
      <w:spacing w:after="0"/>
      <w:jc w:val="center"/>
    </w:pPr>
    <w:rPr>
      <w:noProof/>
      <w:lang w:val="en-CA"/>
    </w:rPr>
  </w:style>
  <w:style w:type="character" w:customStyle="1" w:styleId="EndNoteBibliographyTitleChar">
    <w:name w:val="EndNote Bibliography Title Char"/>
    <w:basedOn w:val="DefaultParagraphFont"/>
    <w:link w:val="EndNoteBibliographyTitle"/>
    <w:rsid w:val="001209CB"/>
    <w:rPr>
      <w:noProof/>
      <w:lang w:val="en-CA"/>
    </w:rPr>
  </w:style>
  <w:style w:type="paragraph" w:customStyle="1" w:styleId="EndNoteBibliography">
    <w:name w:val="EndNote Bibliography"/>
    <w:basedOn w:val="Normal"/>
    <w:link w:val="EndNoteBibliographyChar"/>
    <w:rsid w:val="001209CB"/>
    <w:pPr>
      <w:jc w:val="center"/>
    </w:pPr>
    <w:rPr>
      <w:noProof/>
      <w:lang w:val="en-CA"/>
    </w:rPr>
  </w:style>
  <w:style w:type="character" w:customStyle="1" w:styleId="EndNoteBibliographyChar">
    <w:name w:val="EndNote Bibliography Char"/>
    <w:basedOn w:val="DefaultParagraphFont"/>
    <w:link w:val="EndNoteBibliography"/>
    <w:rsid w:val="001209CB"/>
    <w:rPr>
      <w:noProof/>
      <w:lang w:val="en-CA"/>
    </w:rPr>
  </w:style>
  <w:style w:type="paragraph" w:styleId="Caption">
    <w:name w:val="caption"/>
    <w:basedOn w:val="Normal"/>
    <w:next w:val="Normal"/>
    <w:uiPriority w:val="35"/>
    <w:unhideWhenUsed/>
    <w:qFormat/>
    <w:rsid w:val="00CF5A7C"/>
    <w:pPr>
      <w:pBdr>
        <w:top w:val="nil"/>
        <w:left w:val="nil"/>
        <w:bottom w:val="nil"/>
        <w:right w:val="nil"/>
        <w:between w:val="nil"/>
      </w:pBdr>
      <w:jc w:val="center"/>
    </w:pPr>
    <w:rPr>
      <w:i/>
    </w:rPr>
  </w:style>
  <w:style w:type="character" w:styleId="Hyperlink">
    <w:name w:val="Hyperlink"/>
    <w:basedOn w:val="DefaultParagraphFont"/>
    <w:uiPriority w:val="99"/>
    <w:unhideWhenUsed/>
    <w:rsid w:val="00CF5A7C"/>
    <w:rPr>
      <w:color w:val="0000FF" w:themeColor="hyperlink"/>
      <w:u w:val="single"/>
    </w:rPr>
  </w:style>
  <w:style w:type="character" w:styleId="UnresolvedMention">
    <w:name w:val="Unresolved Mention"/>
    <w:basedOn w:val="DefaultParagraphFont"/>
    <w:uiPriority w:val="99"/>
    <w:semiHidden/>
    <w:unhideWhenUsed/>
    <w:rsid w:val="00CF5A7C"/>
    <w:rPr>
      <w:color w:val="605E5C"/>
      <w:shd w:val="clear" w:color="auto" w:fill="E1DFDD"/>
    </w:rPr>
  </w:style>
  <w:style w:type="paragraph" w:styleId="Revision">
    <w:name w:val="Revision"/>
    <w:hidden/>
    <w:uiPriority w:val="99"/>
    <w:semiHidden/>
    <w:rsid w:val="00CA1C25"/>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6742">
      <w:bodyDiv w:val="1"/>
      <w:marLeft w:val="0"/>
      <w:marRight w:val="0"/>
      <w:marTop w:val="0"/>
      <w:marBottom w:val="0"/>
      <w:divBdr>
        <w:top w:val="none" w:sz="0" w:space="0" w:color="auto"/>
        <w:left w:val="none" w:sz="0" w:space="0" w:color="auto"/>
        <w:bottom w:val="none" w:sz="0" w:space="0" w:color="auto"/>
        <w:right w:val="none" w:sz="0" w:space="0" w:color="auto"/>
      </w:divBdr>
    </w:div>
    <w:div w:id="445388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s://www.energycodes.gov/development/commercial/prototype_models"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bigladdersoftware.com/epx/docs/9-3/engineering-reference/basis-for-the-zone-and-air-system-integration.html"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bigladdersoftware.com/epx/docs/9-3/engineering-reference/basis-for-the-zone-and-air-system-integration.html" TargetMode="Externa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j.enbuild.2018.11.005" TargetMode="External"/><Relationship Id="rId27" Type="http://schemas.openxmlformats.org/officeDocument/2006/relationships/theme" Target="theme/theme1.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y2RI1l15bak6auD75f8SVSooqWw==">AMUW2mWZAotBYOusERWO3yntorIOUY3Bptp3BMo3+hPVeaGs6LWmu65HYQ1H7lA8J6r3L8waTTyJVqay7IUI30q1HXEihaj7gRw5RW8+yREwGNUQLFIAdqY=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ECA3066FF748D45B76F4546BB43F9AA" ma:contentTypeVersion="17" ma:contentTypeDescription="Create a new document." ma:contentTypeScope="" ma:versionID="b24ffbea27101affdf6947d98d358655">
  <xsd:schema xmlns:xsd="http://www.w3.org/2001/XMLSchema" xmlns:xs="http://www.w3.org/2001/XMLSchema" xmlns:p="http://schemas.microsoft.com/office/2006/metadata/properties" xmlns:ns2="aa6892d3-bccc-4201-afcc-3a8669e6349e" xmlns:ns3="e826ff5e-485e-4062-9a07-94b7fd0506bd" targetNamespace="http://schemas.microsoft.com/office/2006/metadata/properties" ma:root="true" ma:fieldsID="265f8538ae6a2d39892a14867ba083d0" ns2:_="" ns3:_="">
    <xsd:import namespace="aa6892d3-bccc-4201-afcc-3a8669e6349e"/>
    <xsd:import namespace="e826ff5e-485e-4062-9a07-94b7fd0506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892d3-bccc-4201-afcc-3a8669e63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dc656b0-98d7-492e-824b-0841517da8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6ff5e-485e-4062-9a07-94b7fd0506b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84235c-a7e1-4e9d-8ba5-023fcdfa7479}" ma:internalName="TaxCatchAll" ma:showField="CatchAllData" ma:web="e826ff5e-485e-4062-9a07-94b7fd0506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826ff5e-485e-4062-9a07-94b7fd0506bd" xsi:nil="true"/>
    <lcf76f155ced4ddcb4097134ff3c332f xmlns="aa6892d3-bccc-4201-afcc-3a8669e634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FF4AAB-9E22-48CA-BAAD-30295D15E9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F086011-5C49-4BC5-87A3-ED0B79CCF1CF}"/>
</file>

<file path=customXml/itemProps4.xml><?xml version="1.0" encoding="utf-8"?>
<ds:datastoreItem xmlns:ds="http://schemas.openxmlformats.org/officeDocument/2006/customXml" ds:itemID="{3B749F0A-5B1A-48F9-A989-F21CAD7A1536}"/>
</file>

<file path=customXml/itemProps5.xml><?xml version="1.0" encoding="utf-8"?>
<ds:datastoreItem xmlns:ds="http://schemas.openxmlformats.org/officeDocument/2006/customXml" ds:itemID="{B0A6991F-DB89-427D-BBAC-001C5DB0D356}"/>
</file>

<file path=docProps/app.xml><?xml version="1.0" encoding="utf-8"?>
<Properties xmlns="http://schemas.openxmlformats.org/officeDocument/2006/extended-properties" xmlns:vt="http://schemas.openxmlformats.org/officeDocument/2006/docPropsVTypes">
  <Template>Normal.dotm</Template>
  <TotalTime>236</TotalTime>
  <Pages>7</Pages>
  <Words>6983</Words>
  <Characters>39035</Characters>
  <Application>Microsoft Office Word</Application>
  <DocSecurity>0</DocSecurity>
  <Lines>1148</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Pertzborn, Amanda J. (Fed)</dc:creator>
  <cp:lastModifiedBy>Zhelun Chen</cp:lastModifiedBy>
  <cp:revision>20</cp:revision>
  <cp:lastPrinted>2022-02-28T22:17:00Z</cp:lastPrinted>
  <dcterms:created xsi:type="dcterms:W3CDTF">2022-02-14T20:25:00Z</dcterms:created>
  <dcterms:modified xsi:type="dcterms:W3CDTF">2022-05-06T17:07:00Z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0x010100EECA3066FF748D45B76F4546BB43F9AA</vt:lpwstr>
  </property>
</Properties>
</file>