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E6730" w14:textId="77777777" w:rsidR="00114F80" w:rsidRPr="0015132A" w:rsidRDefault="00114F80" w:rsidP="0015132A">
      <w:pPr>
        <w:pStyle w:val="Caption"/>
        <w:rPr>
          <w:i w:val="0"/>
          <w:sz w:val="44"/>
        </w:rPr>
      </w:pPr>
      <w:r w:rsidRPr="0015132A">
        <w:rPr>
          <w:i w:val="0"/>
          <w:sz w:val="44"/>
        </w:rPr>
        <w:t>Final Scientific</w:t>
      </w:r>
      <w:r w:rsidR="00A31AF6" w:rsidRPr="0015132A">
        <w:rPr>
          <w:i w:val="0"/>
          <w:sz w:val="44"/>
        </w:rPr>
        <w:t>/Technical</w:t>
      </w:r>
      <w:r w:rsidRPr="0015132A">
        <w:rPr>
          <w:i w:val="0"/>
          <w:sz w:val="44"/>
        </w:rPr>
        <w:t xml:space="preserve"> Report</w:t>
      </w:r>
    </w:p>
    <w:p w14:paraId="4F2B0C45" w14:textId="77777777" w:rsidR="00991863" w:rsidRDefault="00991863" w:rsidP="0015132A">
      <w:pPr>
        <w:tabs>
          <w:tab w:val="clear" w:pos="360"/>
          <w:tab w:val="clear" w:pos="720"/>
          <w:tab w:val="clear" w:pos="1080"/>
          <w:tab w:val="clear" w:pos="1440"/>
          <w:tab w:val="clear" w:pos="1800"/>
          <w:tab w:val="clear" w:pos="2160"/>
          <w:tab w:val="clear" w:pos="2520"/>
          <w:tab w:val="clear" w:pos="2880"/>
        </w:tabs>
        <w:spacing w:before="120" w:after="240"/>
        <w:ind w:left="0"/>
        <w:jc w:val="center"/>
        <w:rPr>
          <w:rFonts w:asciiTheme="minorBidi" w:hAnsiTheme="minorBidi"/>
          <w:b/>
          <w:i w:val="0"/>
          <w:iCs/>
        </w:rPr>
      </w:pPr>
    </w:p>
    <w:p w14:paraId="4C2F36FB" w14:textId="77777777" w:rsidR="00991863" w:rsidRDefault="00991863" w:rsidP="00991863">
      <w:pPr>
        <w:tabs>
          <w:tab w:val="clear" w:pos="360"/>
          <w:tab w:val="clear" w:pos="720"/>
          <w:tab w:val="clear" w:pos="1080"/>
          <w:tab w:val="clear" w:pos="1440"/>
          <w:tab w:val="clear" w:pos="1800"/>
          <w:tab w:val="clear" w:pos="2160"/>
          <w:tab w:val="clear" w:pos="2520"/>
          <w:tab w:val="clear" w:pos="2880"/>
        </w:tabs>
        <w:ind w:left="0"/>
        <w:jc w:val="center"/>
        <w:rPr>
          <w:rFonts w:asciiTheme="minorBidi" w:hAnsiTheme="minorBidi"/>
          <w:b/>
          <w:i w:val="0"/>
          <w:iCs/>
          <w:sz w:val="22"/>
          <w:szCs w:val="22"/>
        </w:rPr>
      </w:pPr>
      <w:r w:rsidRPr="00991863">
        <w:rPr>
          <w:rFonts w:asciiTheme="minorBidi" w:hAnsiTheme="minorBidi"/>
          <w:b/>
          <w:i w:val="0"/>
          <w:iCs/>
          <w:sz w:val="22"/>
          <w:szCs w:val="22"/>
        </w:rPr>
        <w:t xml:space="preserve">Stochastic Continuous-time Flexibility Scheduling and Pricing </w:t>
      </w:r>
    </w:p>
    <w:p w14:paraId="621541FD" w14:textId="7128FAED" w:rsidR="0015132A" w:rsidRPr="00991863" w:rsidRDefault="00991863" w:rsidP="00991863">
      <w:pPr>
        <w:tabs>
          <w:tab w:val="clear" w:pos="360"/>
          <w:tab w:val="clear" w:pos="720"/>
          <w:tab w:val="clear" w:pos="1080"/>
          <w:tab w:val="clear" w:pos="1440"/>
          <w:tab w:val="clear" w:pos="1800"/>
          <w:tab w:val="clear" w:pos="2160"/>
          <w:tab w:val="clear" w:pos="2520"/>
          <w:tab w:val="clear" w:pos="2880"/>
        </w:tabs>
        <w:ind w:left="0"/>
        <w:jc w:val="center"/>
        <w:rPr>
          <w:rFonts w:asciiTheme="minorBidi" w:hAnsiTheme="minorBidi"/>
          <w:b/>
          <w:i w:val="0"/>
          <w:iCs/>
          <w:sz w:val="22"/>
          <w:szCs w:val="22"/>
        </w:rPr>
      </w:pPr>
      <w:r w:rsidRPr="00991863">
        <w:rPr>
          <w:rFonts w:asciiTheme="minorBidi" w:hAnsiTheme="minorBidi"/>
          <w:b/>
          <w:i w:val="0"/>
          <w:iCs/>
          <w:sz w:val="22"/>
          <w:szCs w:val="22"/>
        </w:rPr>
        <w:t>in Wholesale Electricity Markets</w:t>
      </w:r>
    </w:p>
    <w:p w14:paraId="64916A44"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spacing w:after="240"/>
        <w:ind w:left="0"/>
        <w:jc w:val="center"/>
        <w:rPr>
          <w:b/>
          <w:sz w:val="2"/>
          <w:szCs w:val="32"/>
        </w:rPr>
      </w:pPr>
    </w:p>
    <w:p w14:paraId="39A69E00"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 w:val="left" w:pos="2316"/>
          <w:tab w:val="center" w:pos="4680"/>
        </w:tabs>
        <w:ind w:left="0"/>
        <w:jc w:val="center"/>
        <w:rPr>
          <w:b/>
          <w:i w:val="0"/>
          <w:sz w:val="22"/>
          <w:szCs w:val="22"/>
        </w:rPr>
      </w:pPr>
      <w:r w:rsidRPr="0015132A">
        <w:rPr>
          <w:b/>
          <w:i w:val="0"/>
          <w:sz w:val="22"/>
          <w:szCs w:val="22"/>
        </w:rPr>
        <w:t>WORK PERFORMED UNDER AGREEMENT</w:t>
      </w:r>
    </w:p>
    <w:p w14:paraId="48084409" w14:textId="60D56EFF" w:rsidR="0015132A" w:rsidRPr="00991863" w:rsidRDefault="00991863" w:rsidP="0015132A">
      <w:pPr>
        <w:tabs>
          <w:tab w:val="clear" w:pos="360"/>
          <w:tab w:val="clear" w:pos="720"/>
          <w:tab w:val="clear" w:pos="1080"/>
          <w:tab w:val="clear" w:pos="1440"/>
          <w:tab w:val="clear" w:pos="1800"/>
          <w:tab w:val="clear" w:pos="2160"/>
          <w:tab w:val="clear" w:pos="2520"/>
          <w:tab w:val="clear" w:pos="2880"/>
        </w:tabs>
        <w:ind w:left="0"/>
        <w:jc w:val="center"/>
        <w:rPr>
          <w:i w:val="0"/>
          <w:iCs/>
          <w:color w:val="0033CC"/>
          <w:sz w:val="20"/>
          <w:szCs w:val="20"/>
        </w:rPr>
      </w:pPr>
      <w:r w:rsidRPr="00991863">
        <w:rPr>
          <w:rFonts w:asciiTheme="minorBidi" w:hAnsiTheme="minorBidi"/>
          <w:b/>
          <w:i w:val="0"/>
          <w:iCs/>
          <w:sz w:val="22"/>
          <w:szCs w:val="22"/>
        </w:rPr>
        <w:t>DE-OE0000882</w:t>
      </w:r>
    </w:p>
    <w:p w14:paraId="0026E58A"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color w:val="0033CC"/>
          <w:sz w:val="22"/>
          <w:szCs w:val="32"/>
        </w:rPr>
      </w:pPr>
    </w:p>
    <w:p w14:paraId="65DFA277" w14:textId="77777777" w:rsidR="00991863" w:rsidRPr="00991863" w:rsidRDefault="00991863" w:rsidP="00991863">
      <w:pPr>
        <w:jc w:val="center"/>
        <w:rPr>
          <w:i w:val="0"/>
          <w:iCs/>
        </w:rPr>
      </w:pPr>
      <w:r w:rsidRPr="00991863">
        <w:rPr>
          <w:i w:val="0"/>
          <w:iCs/>
        </w:rPr>
        <w:t>University of Utah</w:t>
      </w:r>
    </w:p>
    <w:p w14:paraId="4F68A338" w14:textId="77777777" w:rsidR="00991863" w:rsidRPr="00991863" w:rsidRDefault="00991863" w:rsidP="00991863">
      <w:pPr>
        <w:jc w:val="center"/>
        <w:rPr>
          <w:i w:val="0"/>
          <w:iCs/>
        </w:rPr>
      </w:pPr>
      <w:r w:rsidRPr="00991863">
        <w:rPr>
          <w:i w:val="0"/>
          <w:iCs/>
        </w:rPr>
        <w:t>75 South 2000 East, 2</w:t>
      </w:r>
      <w:r w:rsidRPr="00991863">
        <w:rPr>
          <w:i w:val="0"/>
          <w:iCs/>
          <w:vertAlign w:val="superscript"/>
        </w:rPr>
        <w:t>nd</w:t>
      </w:r>
      <w:r w:rsidRPr="00991863">
        <w:rPr>
          <w:i w:val="0"/>
          <w:iCs/>
        </w:rPr>
        <w:t xml:space="preserve"> Floor</w:t>
      </w:r>
    </w:p>
    <w:p w14:paraId="424F1946" w14:textId="3CA3A151" w:rsidR="0015132A" w:rsidRPr="00991863" w:rsidRDefault="00991863" w:rsidP="00991863">
      <w:pPr>
        <w:jc w:val="center"/>
        <w:rPr>
          <w:i w:val="0"/>
          <w:iCs/>
        </w:rPr>
      </w:pPr>
      <w:r w:rsidRPr="00991863">
        <w:rPr>
          <w:i w:val="0"/>
          <w:iCs/>
        </w:rPr>
        <w:t>Salt Lake City, UT 84112</w:t>
      </w:r>
    </w:p>
    <w:p w14:paraId="6F897CFA" w14:textId="77777777" w:rsidR="0015132A" w:rsidRPr="00991863"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color w:val="0033CC"/>
          <w:sz w:val="22"/>
          <w:szCs w:val="22"/>
        </w:rPr>
      </w:pPr>
    </w:p>
    <w:p w14:paraId="088C67E7" w14:textId="11A134D8" w:rsidR="0015132A" w:rsidRPr="00991863" w:rsidRDefault="0015132A" w:rsidP="0015132A">
      <w:pPr>
        <w:tabs>
          <w:tab w:val="clear" w:pos="360"/>
          <w:tab w:val="clear" w:pos="720"/>
          <w:tab w:val="clear" w:pos="1080"/>
          <w:tab w:val="clear" w:pos="1440"/>
          <w:tab w:val="clear" w:pos="1800"/>
          <w:tab w:val="clear" w:pos="2160"/>
          <w:tab w:val="clear" w:pos="2520"/>
          <w:tab w:val="clear" w:pos="2880"/>
          <w:tab w:val="left" w:pos="1272"/>
          <w:tab w:val="center" w:pos="4680"/>
        </w:tabs>
        <w:ind w:left="0"/>
        <w:jc w:val="center"/>
        <w:rPr>
          <w:b/>
          <w:i w:val="0"/>
          <w:iCs/>
          <w:color w:val="0033CC"/>
          <w:sz w:val="22"/>
          <w:szCs w:val="22"/>
        </w:rPr>
      </w:pPr>
      <w:r w:rsidRPr="00991863">
        <w:rPr>
          <w:b/>
          <w:i w:val="0"/>
          <w:sz w:val="22"/>
          <w:szCs w:val="22"/>
        </w:rPr>
        <w:t xml:space="preserve">Award Period of Performance: </w:t>
      </w:r>
      <w:r w:rsidR="00991863" w:rsidRPr="00991863">
        <w:rPr>
          <w:b/>
          <w:i w:val="0"/>
          <w:iCs/>
          <w:sz w:val="22"/>
          <w:szCs w:val="22"/>
        </w:rPr>
        <w:t>10/01/2017 to 03/31/2021</w:t>
      </w:r>
    </w:p>
    <w:p w14:paraId="0D7ABDBF" w14:textId="77777777" w:rsidR="0015132A" w:rsidRPr="00991863" w:rsidRDefault="0015132A" w:rsidP="0015132A">
      <w:pPr>
        <w:tabs>
          <w:tab w:val="clear" w:pos="360"/>
          <w:tab w:val="clear" w:pos="720"/>
          <w:tab w:val="clear" w:pos="1080"/>
          <w:tab w:val="clear" w:pos="1440"/>
          <w:tab w:val="clear" w:pos="1800"/>
          <w:tab w:val="clear" w:pos="2160"/>
          <w:tab w:val="clear" w:pos="2520"/>
          <w:tab w:val="clear" w:pos="2880"/>
        </w:tabs>
        <w:ind w:left="0"/>
        <w:jc w:val="center"/>
        <w:rPr>
          <w:sz w:val="22"/>
          <w:szCs w:val="22"/>
        </w:rPr>
      </w:pPr>
    </w:p>
    <w:p w14:paraId="38CDFE09" w14:textId="1930DC9C" w:rsidR="0015132A" w:rsidRPr="00991863"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color w:val="0033CC"/>
          <w:sz w:val="22"/>
          <w:szCs w:val="22"/>
        </w:rPr>
      </w:pPr>
      <w:r w:rsidRPr="00991863">
        <w:rPr>
          <w:b/>
          <w:i w:val="0"/>
          <w:sz w:val="22"/>
          <w:szCs w:val="22"/>
        </w:rPr>
        <w:t>Submitted:</w:t>
      </w:r>
      <w:r w:rsidRPr="00991863">
        <w:rPr>
          <w:b/>
          <w:i w:val="0"/>
          <w:color w:val="0033CC"/>
          <w:sz w:val="22"/>
          <w:szCs w:val="22"/>
        </w:rPr>
        <w:t xml:space="preserve"> </w:t>
      </w:r>
      <w:r w:rsidR="00991863" w:rsidRPr="00991863">
        <w:rPr>
          <w:b/>
          <w:i w:val="0"/>
          <w:iCs/>
          <w:sz w:val="22"/>
          <w:szCs w:val="22"/>
        </w:rPr>
        <w:t>03/31/2021</w:t>
      </w:r>
    </w:p>
    <w:p w14:paraId="51977B35"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sz w:val="22"/>
          <w:szCs w:val="22"/>
        </w:rPr>
      </w:pPr>
    </w:p>
    <w:p w14:paraId="3B5E7539"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sidRPr="0015132A">
        <w:rPr>
          <w:b/>
          <w:i w:val="0"/>
          <w:sz w:val="22"/>
          <w:szCs w:val="22"/>
        </w:rPr>
        <w:t>PRINCIPAL INVESTIGATOR</w:t>
      </w:r>
    </w:p>
    <w:p w14:paraId="432D3ED3" w14:textId="3190E0F0" w:rsidR="0015132A" w:rsidRDefault="00991863"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Pr>
          <w:b/>
          <w:i w:val="0"/>
          <w:sz w:val="22"/>
          <w:szCs w:val="22"/>
        </w:rPr>
        <w:t>Florian Solzbacher</w:t>
      </w:r>
    </w:p>
    <w:p w14:paraId="59D22134" w14:textId="77777777" w:rsidR="00991863" w:rsidRPr="0015132A" w:rsidRDefault="00991863" w:rsidP="0015132A">
      <w:pPr>
        <w:tabs>
          <w:tab w:val="clear" w:pos="360"/>
          <w:tab w:val="clear" w:pos="720"/>
          <w:tab w:val="clear" w:pos="1080"/>
          <w:tab w:val="clear" w:pos="1440"/>
          <w:tab w:val="clear" w:pos="1800"/>
          <w:tab w:val="clear" w:pos="2160"/>
          <w:tab w:val="clear" w:pos="2520"/>
          <w:tab w:val="clear" w:pos="2880"/>
        </w:tabs>
        <w:ind w:left="0"/>
        <w:jc w:val="center"/>
        <w:rPr>
          <w:i w:val="0"/>
          <w:sz w:val="22"/>
          <w:szCs w:val="22"/>
        </w:rPr>
      </w:pPr>
    </w:p>
    <w:p w14:paraId="39D000E4"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sidRPr="0015132A">
        <w:rPr>
          <w:b/>
          <w:i w:val="0"/>
          <w:sz w:val="22"/>
          <w:szCs w:val="22"/>
        </w:rPr>
        <w:t>TEAM MEMBERS</w:t>
      </w:r>
    </w:p>
    <w:p w14:paraId="7BBEF54E" w14:textId="30EF0541" w:rsidR="0015132A" w:rsidRPr="00991863" w:rsidRDefault="00991863"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sidRPr="00991863">
        <w:rPr>
          <w:b/>
          <w:i w:val="0"/>
          <w:sz w:val="22"/>
          <w:szCs w:val="22"/>
        </w:rPr>
        <w:t>Masood Parvania</w:t>
      </w:r>
    </w:p>
    <w:p w14:paraId="5CA969A6" w14:textId="6E52D5DA" w:rsidR="00991863" w:rsidRDefault="00991863"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Pr>
          <w:b/>
          <w:i w:val="0"/>
          <w:sz w:val="22"/>
          <w:szCs w:val="22"/>
        </w:rPr>
        <w:t>Roohallah Khatami</w:t>
      </w:r>
    </w:p>
    <w:p w14:paraId="7AE30A72" w14:textId="2F5056D3" w:rsidR="00991863" w:rsidRDefault="00991863"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Pr>
          <w:b/>
          <w:i w:val="0"/>
          <w:sz w:val="22"/>
          <w:szCs w:val="22"/>
        </w:rPr>
        <w:t>Avishan Bagherinezhad</w:t>
      </w:r>
    </w:p>
    <w:p w14:paraId="381FB9CA" w14:textId="57A6651E" w:rsidR="00991863" w:rsidRPr="00991863" w:rsidRDefault="00991863"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Pr>
          <w:b/>
          <w:i w:val="0"/>
          <w:sz w:val="22"/>
          <w:szCs w:val="22"/>
        </w:rPr>
        <w:t>Bosong Li</w:t>
      </w:r>
    </w:p>
    <w:p w14:paraId="67D5A04D"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sz w:val="22"/>
          <w:szCs w:val="22"/>
        </w:rPr>
      </w:pPr>
    </w:p>
    <w:p w14:paraId="0973AAA1"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b/>
          <w:i w:val="0"/>
          <w:sz w:val="22"/>
          <w:szCs w:val="22"/>
        </w:rPr>
      </w:pPr>
      <w:r w:rsidRPr="0015132A">
        <w:rPr>
          <w:b/>
          <w:i w:val="0"/>
          <w:sz w:val="22"/>
          <w:szCs w:val="22"/>
        </w:rPr>
        <w:t>SPONSORING PROGRAM OFFICE</w:t>
      </w:r>
    </w:p>
    <w:p w14:paraId="3565913F"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sz w:val="22"/>
          <w:szCs w:val="22"/>
        </w:rPr>
      </w:pPr>
      <w:r w:rsidRPr="0015132A">
        <w:rPr>
          <w:i w:val="0"/>
          <w:sz w:val="22"/>
          <w:szCs w:val="22"/>
        </w:rPr>
        <w:t>U. S. Department of Energy</w:t>
      </w:r>
    </w:p>
    <w:p w14:paraId="1481DE8E"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sz w:val="22"/>
          <w:szCs w:val="22"/>
        </w:rPr>
      </w:pPr>
      <w:r w:rsidRPr="0015132A">
        <w:rPr>
          <w:i w:val="0"/>
          <w:sz w:val="22"/>
          <w:szCs w:val="22"/>
        </w:rPr>
        <w:t>Office of Electricity Delivery and Energy Reliability</w:t>
      </w:r>
    </w:p>
    <w:p w14:paraId="554397B2" w14:textId="77777777" w:rsidR="0015132A" w:rsidRPr="0015132A" w:rsidRDefault="0015132A" w:rsidP="0015132A">
      <w:pPr>
        <w:tabs>
          <w:tab w:val="clear" w:pos="360"/>
          <w:tab w:val="clear" w:pos="720"/>
          <w:tab w:val="clear" w:pos="1080"/>
          <w:tab w:val="clear" w:pos="1440"/>
          <w:tab w:val="clear" w:pos="1800"/>
          <w:tab w:val="clear" w:pos="2160"/>
          <w:tab w:val="clear" w:pos="2520"/>
          <w:tab w:val="clear" w:pos="2880"/>
        </w:tabs>
        <w:ind w:left="0"/>
        <w:jc w:val="center"/>
        <w:rPr>
          <w:i w:val="0"/>
          <w:sz w:val="22"/>
          <w:szCs w:val="22"/>
        </w:rPr>
      </w:pPr>
      <w:r w:rsidRPr="0015132A">
        <w:rPr>
          <w:i w:val="0"/>
          <w:sz w:val="22"/>
          <w:szCs w:val="22"/>
        </w:rPr>
        <w:t>Via the National Energy Technology Laboratory</w:t>
      </w:r>
    </w:p>
    <w:p w14:paraId="3254973F" w14:textId="30A6EDED" w:rsidR="00D04592" w:rsidRDefault="00D04592">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i w:val="0"/>
          <w:color w:val="0033CC"/>
          <w:sz w:val="22"/>
          <w:szCs w:val="22"/>
        </w:rPr>
      </w:pPr>
      <w:r>
        <w:rPr>
          <w:i w:val="0"/>
          <w:color w:val="0033CC"/>
          <w:sz w:val="22"/>
          <w:szCs w:val="22"/>
        </w:rPr>
        <w:br w:type="page"/>
      </w:r>
    </w:p>
    <w:p w14:paraId="07CB5340" w14:textId="4599EEFE" w:rsidR="00D04592" w:rsidRPr="00AE0B7B" w:rsidRDefault="00D04592" w:rsidP="00AA0F2B">
      <w:pPr>
        <w:pStyle w:val="Title"/>
        <w:rPr>
          <w:rStyle w:val="BookTitle"/>
          <w:b/>
          <w:sz w:val="40"/>
          <w:u w:val="single"/>
        </w:rPr>
      </w:pPr>
      <w:r w:rsidRPr="00AE0B7B">
        <w:rPr>
          <w:rStyle w:val="BookTitle"/>
          <w:b/>
          <w:sz w:val="40"/>
          <w:u w:val="single"/>
        </w:rPr>
        <w:lastRenderedPageBreak/>
        <w:t>TABLE OF CONTENTS</w:t>
      </w:r>
    </w:p>
    <w:p w14:paraId="29A136FE" w14:textId="602DBE9C" w:rsidR="00D04592" w:rsidRPr="00EB2189" w:rsidRDefault="00D04592" w:rsidP="00AA0F2B">
      <w:pPr>
        <w:pStyle w:val="TOC2"/>
        <w:spacing w:before="240" w:after="360"/>
        <w:jc w:val="left"/>
        <w:rPr>
          <w:rFonts w:ascii="Arial" w:eastAsiaTheme="minorEastAsia" w:hAnsi="Arial" w:cs="Arial"/>
          <w:iCs w:val="0"/>
          <w:noProof/>
          <w:sz w:val="24"/>
          <w:szCs w:val="32"/>
        </w:rPr>
      </w:pPr>
      <w:r w:rsidRPr="00EB2189">
        <w:rPr>
          <w:rFonts w:ascii="Arial" w:hAnsi="Arial" w:cs="Arial"/>
          <w:sz w:val="24"/>
          <w:szCs w:val="32"/>
        </w:rPr>
        <w:fldChar w:fldCharType="begin"/>
      </w:r>
      <w:r w:rsidRPr="00EB2189">
        <w:rPr>
          <w:rFonts w:ascii="Arial" w:hAnsi="Arial" w:cs="Arial"/>
          <w:sz w:val="24"/>
          <w:szCs w:val="32"/>
        </w:rPr>
        <w:instrText xml:space="preserve"> TOC \o "1-3" \u </w:instrText>
      </w:r>
      <w:r w:rsidRPr="00EB2189">
        <w:rPr>
          <w:rFonts w:ascii="Arial" w:hAnsi="Arial" w:cs="Arial"/>
          <w:sz w:val="24"/>
          <w:szCs w:val="32"/>
        </w:rPr>
        <w:fldChar w:fldCharType="separate"/>
      </w:r>
      <w:r w:rsidRPr="00AE0B7B">
        <w:rPr>
          <w:rFonts w:ascii="Arial" w:hAnsi="Arial" w:cs="Arial"/>
          <w:b/>
          <w:noProof/>
          <w:sz w:val="24"/>
          <w:szCs w:val="32"/>
        </w:rPr>
        <w:t>LIST OF TABLES</w:t>
      </w:r>
      <w:r w:rsidRPr="00EB2189">
        <w:rPr>
          <w:rFonts w:ascii="Arial" w:hAnsi="Arial" w:cs="Arial"/>
          <w:noProof/>
          <w:sz w:val="24"/>
          <w:szCs w:val="32"/>
        </w:rPr>
        <w:tab/>
      </w:r>
      <w:r w:rsidRPr="00EB2189">
        <w:rPr>
          <w:rFonts w:ascii="Arial" w:hAnsi="Arial" w:cs="Arial"/>
          <w:noProof/>
          <w:sz w:val="24"/>
          <w:szCs w:val="32"/>
        </w:rPr>
        <w:fldChar w:fldCharType="begin"/>
      </w:r>
      <w:r w:rsidRPr="00EB2189">
        <w:rPr>
          <w:rFonts w:ascii="Arial" w:hAnsi="Arial" w:cs="Arial"/>
          <w:noProof/>
          <w:sz w:val="24"/>
          <w:szCs w:val="32"/>
        </w:rPr>
        <w:instrText xml:space="preserve"> PAGEREF _Toc513463331 \h </w:instrText>
      </w:r>
      <w:r w:rsidRPr="00EB2189">
        <w:rPr>
          <w:rFonts w:ascii="Arial" w:hAnsi="Arial" w:cs="Arial"/>
          <w:noProof/>
          <w:sz w:val="24"/>
          <w:szCs w:val="32"/>
        </w:rPr>
      </w:r>
      <w:r w:rsidRPr="00EB2189">
        <w:rPr>
          <w:rFonts w:ascii="Arial" w:hAnsi="Arial" w:cs="Arial"/>
          <w:noProof/>
          <w:sz w:val="24"/>
          <w:szCs w:val="32"/>
        </w:rPr>
        <w:fldChar w:fldCharType="separate"/>
      </w:r>
      <w:r w:rsidR="00A64D10">
        <w:rPr>
          <w:rFonts w:ascii="Arial" w:hAnsi="Arial" w:cs="Arial"/>
          <w:noProof/>
          <w:sz w:val="24"/>
          <w:szCs w:val="32"/>
        </w:rPr>
        <w:t>2</w:t>
      </w:r>
      <w:r w:rsidRPr="00EB2189">
        <w:rPr>
          <w:rFonts w:ascii="Arial" w:hAnsi="Arial" w:cs="Arial"/>
          <w:noProof/>
          <w:sz w:val="24"/>
          <w:szCs w:val="32"/>
        </w:rPr>
        <w:fldChar w:fldCharType="end"/>
      </w:r>
    </w:p>
    <w:p w14:paraId="28C77E73" w14:textId="65D313B4" w:rsidR="00D04592" w:rsidRPr="00EB2189" w:rsidRDefault="00D04592" w:rsidP="00AA0F2B">
      <w:pPr>
        <w:pStyle w:val="TOC2"/>
        <w:spacing w:before="240" w:after="360"/>
        <w:jc w:val="left"/>
        <w:rPr>
          <w:rFonts w:ascii="Arial" w:eastAsiaTheme="minorEastAsia" w:hAnsi="Arial" w:cs="Arial"/>
          <w:iCs w:val="0"/>
          <w:noProof/>
          <w:sz w:val="24"/>
          <w:szCs w:val="32"/>
        </w:rPr>
      </w:pPr>
      <w:r w:rsidRPr="00AE0B7B">
        <w:rPr>
          <w:rFonts w:ascii="Arial" w:hAnsi="Arial" w:cs="Arial"/>
          <w:b/>
          <w:noProof/>
          <w:sz w:val="24"/>
          <w:szCs w:val="32"/>
        </w:rPr>
        <w:t>LIST OF FIGURES</w:t>
      </w:r>
      <w:r w:rsidRPr="00EB2189">
        <w:rPr>
          <w:rFonts w:ascii="Arial" w:hAnsi="Arial" w:cs="Arial"/>
          <w:noProof/>
          <w:sz w:val="24"/>
          <w:szCs w:val="32"/>
        </w:rPr>
        <w:tab/>
      </w:r>
      <w:r w:rsidRPr="00EB2189">
        <w:rPr>
          <w:rFonts w:ascii="Arial" w:hAnsi="Arial" w:cs="Arial"/>
          <w:noProof/>
          <w:sz w:val="24"/>
          <w:szCs w:val="32"/>
        </w:rPr>
        <w:fldChar w:fldCharType="begin"/>
      </w:r>
      <w:r w:rsidRPr="00EB2189">
        <w:rPr>
          <w:rFonts w:ascii="Arial" w:hAnsi="Arial" w:cs="Arial"/>
          <w:noProof/>
          <w:sz w:val="24"/>
          <w:szCs w:val="32"/>
        </w:rPr>
        <w:instrText xml:space="preserve"> PAGEREF _Toc513463332 \h </w:instrText>
      </w:r>
      <w:r w:rsidRPr="00EB2189">
        <w:rPr>
          <w:rFonts w:ascii="Arial" w:hAnsi="Arial" w:cs="Arial"/>
          <w:noProof/>
          <w:sz w:val="24"/>
          <w:szCs w:val="32"/>
        </w:rPr>
      </w:r>
      <w:r w:rsidRPr="00EB2189">
        <w:rPr>
          <w:rFonts w:ascii="Arial" w:hAnsi="Arial" w:cs="Arial"/>
          <w:noProof/>
          <w:sz w:val="24"/>
          <w:szCs w:val="32"/>
        </w:rPr>
        <w:fldChar w:fldCharType="separate"/>
      </w:r>
      <w:r w:rsidR="00A64D10">
        <w:rPr>
          <w:rFonts w:ascii="Arial" w:hAnsi="Arial" w:cs="Arial"/>
          <w:noProof/>
          <w:sz w:val="24"/>
          <w:szCs w:val="32"/>
        </w:rPr>
        <w:t>3</w:t>
      </w:r>
      <w:r w:rsidRPr="00EB2189">
        <w:rPr>
          <w:rFonts w:ascii="Arial" w:hAnsi="Arial" w:cs="Arial"/>
          <w:noProof/>
          <w:sz w:val="24"/>
          <w:szCs w:val="32"/>
        </w:rPr>
        <w:fldChar w:fldCharType="end"/>
      </w:r>
    </w:p>
    <w:p w14:paraId="084AC2E5" w14:textId="5B1847A2" w:rsidR="00D04592" w:rsidRPr="00EB2189" w:rsidRDefault="00D04592" w:rsidP="00AA0F2B">
      <w:pPr>
        <w:pStyle w:val="TOC2"/>
        <w:spacing w:before="240" w:after="360"/>
        <w:jc w:val="left"/>
        <w:rPr>
          <w:rFonts w:ascii="Arial" w:eastAsiaTheme="minorEastAsia" w:hAnsi="Arial" w:cs="Arial"/>
          <w:iCs w:val="0"/>
          <w:noProof/>
          <w:sz w:val="24"/>
          <w:szCs w:val="32"/>
        </w:rPr>
      </w:pPr>
      <w:r w:rsidRPr="00AE0B7B">
        <w:rPr>
          <w:rFonts w:ascii="Arial" w:hAnsi="Arial" w:cs="Arial"/>
          <w:b/>
          <w:noProof/>
          <w:sz w:val="24"/>
          <w:szCs w:val="32"/>
        </w:rPr>
        <w:t>LIST OF ACRONYMS AND ABBREVIATIONS</w:t>
      </w:r>
      <w:r w:rsidRPr="00EB2189">
        <w:rPr>
          <w:rFonts w:ascii="Arial" w:hAnsi="Arial" w:cs="Arial"/>
          <w:noProof/>
          <w:sz w:val="24"/>
          <w:szCs w:val="32"/>
        </w:rPr>
        <w:tab/>
      </w:r>
      <w:r w:rsidRPr="00EB2189">
        <w:rPr>
          <w:rFonts w:ascii="Arial" w:hAnsi="Arial" w:cs="Arial"/>
          <w:noProof/>
          <w:sz w:val="24"/>
          <w:szCs w:val="32"/>
        </w:rPr>
        <w:fldChar w:fldCharType="begin"/>
      </w:r>
      <w:r w:rsidRPr="00EB2189">
        <w:rPr>
          <w:rFonts w:ascii="Arial" w:hAnsi="Arial" w:cs="Arial"/>
          <w:noProof/>
          <w:sz w:val="24"/>
          <w:szCs w:val="32"/>
        </w:rPr>
        <w:instrText xml:space="preserve"> PAGEREF _Toc513463333 \h </w:instrText>
      </w:r>
      <w:r w:rsidRPr="00EB2189">
        <w:rPr>
          <w:rFonts w:ascii="Arial" w:hAnsi="Arial" w:cs="Arial"/>
          <w:noProof/>
          <w:sz w:val="24"/>
          <w:szCs w:val="32"/>
        </w:rPr>
      </w:r>
      <w:r w:rsidRPr="00EB2189">
        <w:rPr>
          <w:rFonts w:ascii="Arial" w:hAnsi="Arial" w:cs="Arial"/>
          <w:noProof/>
          <w:sz w:val="24"/>
          <w:szCs w:val="32"/>
        </w:rPr>
        <w:fldChar w:fldCharType="separate"/>
      </w:r>
      <w:r w:rsidR="00A64D10">
        <w:rPr>
          <w:rFonts w:ascii="Arial" w:hAnsi="Arial" w:cs="Arial"/>
          <w:noProof/>
          <w:sz w:val="24"/>
          <w:szCs w:val="32"/>
        </w:rPr>
        <w:t>4</w:t>
      </w:r>
      <w:r w:rsidRPr="00EB2189">
        <w:rPr>
          <w:rFonts w:ascii="Arial" w:hAnsi="Arial" w:cs="Arial"/>
          <w:noProof/>
          <w:sz w:val="24"/>
          <w:szCs w:val="32"/>
        </w:rPr>
        <w:fldChar w:fldCharType="end"/>
      </w:r>
    </w:p>
    <w:p w14:paraId="372378C0" w14:textId="6737A774" w:rsidR="00D04592" w:rsidRPr="00EB2189" w:rsidRDefault="00D04592" w:rsidP="00AA0F2B">
      <w:pPr>
        <w:pStyle w:val="TOC1"/>
        <w:spacing w:after="360"/>
        <w:rPr>
          <w:rFonts w:eastAsiaTheme="minorEastAsia"/>
          <w:i/>
          <w:noProof/>
          <w:sz w:val="24"/>
        </w:rPr>
      </w:pPr>
      <w:r w:rsidRPr="00AE0B7B">
        <w:rPr>
          <w:b/>
          <w:i/>
          <w:noProof/>
          <w:sz w:val="24"/>
        </w:rPr>
        <w:t>I.</w:t>
      </w:r>
      <w:r w:rsidRPr="00AE0B7B">
        <w:rPr>
          <w:rFonts w:eastAsiaTheme="minorEastAsia"/>
          <w:b/>
          <w:i/>
          <w:noProof/>
          <w:sz w:val="24"/>
        </w:rPr>
        <w:tab/>
      </w:r>
      <w:r w:rsidRPr="00AE0B7B">
        <w:rPr>
          <w:b/>
          <w:i/>
          <w:noProof/>
          <w:sz w:val="24"/>
        </w:rPr>
        <w:t>Executive Summary</w:t>
      </w:r>
      <w:r w:rsidRPr="00EB2189">
        <w:rPr>
          <w:i/>
          <w:noProof/>
          <w:sz w:val="24"/>
        </w:rPr>
        <w:tab/>
      </w:r>
      <w:r w:rsidRPr="00EB2189">
        <w:rPr>
          <w:i/>
          <w:noProof/>
          <w:sz w:val="24"/>
        </w:rPr>
        <w:fldChar w:fldCharType="begin"/>
      </w:r>
      <w:r w:rsidRPr="00EB2189">
        <w:rPr>
          <w:i/>
          <w:noProof/>
          <w:sz w:val="24"/>
        </w:rPr>
        <w:instrText xml:space="preserve"> PAGEREF _Toc513463334 \h </w:instrText>
      </w:r>
      <w:r w:rsidRPr="00EB2189">
        <w:rPr>
          <w:i/>
          <w:noProof/>
          <w:sz w:val="24"/>
        </w:rPr>
      </w:r>
      <w:r w:rsidRPr="00EB2189">
        <w:rPr>
          <w:i/>
          <w:noProof/>
          <w:sz w:val="24"/>
        </w:rPr>
        <w:fldChar w:fldCharType="separate"/>
      </w:r>
      <w:r w:rsidR="00A64D10">
        <w:rPr>
          <w:i/>
          <w:noProof/>
          <w:sz w:val="24"/>
        </w:rPr>
        <w:t>5</w:t>
      </w:r>
      <w:r w:rsidRPr="00EB2189">
        <w:rPr>
          <w:i/>
          <w:noProof/>
          <w:sz w:val="24"/>
        </w:rPr>
        <w:fldChar w:fldCharType="end"/>
      </w:r>
    </w:p>
    <w:p w14:paraId="66DC2202" w14:textId="2C7CB664" w:rsidR="00D04592" w:rsidRPr="00EB2189" w:rsidRDefault="00D04592" w:rsidP="00AA0F2B">
      <w:pPr>
        <w:pStyle w:val="TOC1"/>
        <w:spacing w:after="360"/>
        <w:rPr>
          <w:rFonts w:eastAsiaTheme="minorEastAsia"/>
          <w:i/>
          <w:noProof/>
          <w:sz w:val="24"/>
        </w:rPr>
      </w:pPr>
      <w:r w:rsidRPr="00AE0B7B">
        <w:rPr>
          <w:b/>
          <w:i/>
          <w:noProof/>
          <w:sz w:val="24"/>
        </w:rPr>
        <w:t>II.</w:t>
      </w:r>
      <w:r w:rsidRPr="00AE0B7B">
        <w:rPr>
          <w:rFonts w:eastAsiaTheme="minorEastAsia"/>
          <w:b/>
          <w:i/>
          <w:noProof/>
          <w:sz w:val="24"/>
        </w:rPr>
        <w:tab/>
      </w:r>
      <w:r w:rsidRPr="00AE0B7B">
        <w:rPr>
          <w:b/>
          <w:i/>
          <w:noProof/>
          <w:sz w:val="24"/>
        </w:rPr>
        <w:t>Objectives</w:t>
      </w:r>
      <w:r w:rsidRPr="00EB2189">
        <w:rPr>
          <w:i/>
          <w:noProof/>
          <w:sz w:val="24"/>
        </w:rPr>
        <w:tab/>
      </w:r>
      <w:r w:rsidRPr="00EB2189">
        <w:rPr>
          <w:i/>
          <w:noProof/>
          <w:sz w:val="24"/>
        </w:rPr>
        <w:fldChar w:fldCharType="begin"/>
      </w:r>
      <w:r w:rsidRPr="00EB2189">
        <w:rPr>
          <w:i/>
          <w:noProof/>
          <w:sz w:val="24"/>
        </w:rPr>
        <w:instrText xml:space="preserve"> PAGEREF _Toc513463335 \h </w:instrText>
      </w:r>
      <w:r w:rsidRPr="00EB2189">
        <w:rPr>
          <w:i/>
          <w:noProof/>
          <w:sz w:val="24"/>
        </w:rPr>
      </w:r>
      <w:r w:rsidRPr="00EB2189">
        <w:rPr>
          <w:i/>
          <w:noProof/>
          <w:sz w:val="24"/>
        </w:rPr>
        <w:fldChar w:fldCharType="separate"/>
      </w:r>
      <w:r w:rsidR="00A64D10">
        <w:rPr>
          <w:i/>
          <w:noProof/>
          <w:sz w:val="24"/>
        </w:rPr>
        <w:t>6</w:t>
      </w:r>
      <w:r w:rsidRPr="00EB2189">
        <w:rPr>
          <w:i/>
          <w:noProof/>
          <w:sz w:val="24"/>
        </w:rPr>
        <w:fldChar w:fldCharType="end"/>
      </w:r>
    </w:p>
    <w:p w14:paraId="261192C6" w14:textId="5E0980A4" w:rsidR="00D04592" w:rsidRPr="00EB2189" w:rsidRDefault="00D04592" w:rsidP="00AA0F2B">
      <w:pPr>
        <w:pStyle w:val="TOC1"/>
        <w:spacing w:after="360"/>
        <w:rPr>
          <w:rFonts w:eastAsiaTheme="minorEastAsia"/>
          <w:i/>
          <w:noProof/>
          <w:sz w:val="24"/>
        </w:rPr>
      </w:pPr>
      <w:r w:rsidRPr="00AE0B7B">
        <w:rPr>
          <w:b/>
          <w:i/>
          <w:noProof/>
          <w:sz w:val="24"/>
        </w:rPr>
        <w:t>III.</w:t>
      </w:r>
      <w:r w:rsidRPr="00AE0B7B">
        <w:rPr>
          <w:rFonts w:eastAsiaTheme="minorEastAsia"/>
          <w:b/>
          <w:i/>
          <w:noProof/>
          <w:sz w:val="24"/>
        </w:rPr>
        <w:tab/>
      </w:r>
      <w:r w:rsidRPr="00AE0B7B">
        <w:rPr>
          <w:b/>
          <w:i/>
          <w:noProof/>
          <w:sz w:val="24"/>
        </w:rPr>
        <w:t>Technical Approach</w:t>
      </w:r>
      <w:r w:rsidRPr="00EB2189">
        <w:rPr>
          <w:i/>
          <w:noProof/>
          <w:sz w:val="24"/>
        </w:rPr>
        <w:tab/>
      </w:r>
      <w:r w:rsidRPr="00EB2189">
        <w:rPr>
          <w:i/>
          <w:noProof/>
          <w:sz w:val="24"/>
        </w:rPr>
        <w:fldChar w:fldCharType="begin"/>
      </w:r>
      <w:r w:rsidRPr="00EB2189">
        <w:rPr>
          <w:i/>
          <w:noProof/>
          <w:sz w:val="24"/>
        </w:rPr>
        <w:instrText xml:space="preserve"> PAGEREF _Toc513463336 \h </w:instrText>
      </w:r>
      <w:r w:rsidRPr="00EB2189">
        <w:rPr>
          <w:i/>
          <w:noProof/>
          <w:sz w:val="24"/>
        </w:rPr>
      </w:r>
      <w:r w:rsidRPr="00EB2189">
        <w:rPr>
          <w:i/>
          <w:noProof/>
          <w:sz w:val="24"/>
        </w:rPr>
        <w:fldChar w:fldCharType="separate"/>
      </w:r>
      <w:r w:rsidR="00A64D10">
        <w:rPr>
          <w:i/>
          <w:noProof/>
          <w:sz w:val="24"/>
        </w:rPr>
        <w:t>7</w:t>
      </w:r>
      <w:r w:rsidRPr="00EB2189">
        <w:rPr>
          <w:i/>
          <w:noProof/>
          <w:sz w:val="24"/>
        </w:rPr>
        <w:fldChar w:fldCharType="end"/>
      </w:r>
    </w:p>
    <w:p w14:paraId="0B388CED" w14:textId="5F1830B2" w:rsidR="00D04592" w:rsidRPr="00EB2189" w:rsidRDefault="00D04592" w:rsidP="00AA0F2B">
      <w:pPr>
        <w:pStyle w:val="TOC1"/>
        <w:spacing w:after="360"/>
        <w:rPr>
          <w:rFonts w:eastAsiaTheme="minorEastAsia"/>
          <w:i/>
          <w:noProof/>
          <w:sz w:val="24"/>
        </w:rPr>
      </w:pPr>
      <w:r w:rsidRPr="00AE0B7B">
        <w:rPr>
          <w:b/>
          <w:i/>
          <w:noProof/>
          <w:sz w:val="24"/>
        </w:rPr>
        <w:t>IV.</w:t>
      </w:r>
      <w:r w:rsidRPr="00AE0B7B">
        <w:rPr>
          <w:rFonts w:eastAsiaTheme="minorEastAsia"/>
          <w:b/>
          <w:i/>
          <w:noProof/>
          <w:sz w:val="24"/>
        </w:rPr>
        <w:tab/>
      </w:r>
      <w:r w:rsidRPr="00AE0B7B">
        <w:rPr>
          <w:b/>
          <w:i/>
          <w:noProof/>
          <w:sz w:val="24"/>
        </w:rPr>
        <w:t>Accomplishments and Conclusions</w:t>
      </w:r>
      <w:r w:rsidRPr="00EB2189">
        <w:rPr>
          <w:i/>
          <w:noProof/>
          <w:sz w:val="24"/>
        </w:rPr>
        <w:tab/>
      </w:r>
      <w:r w:rsidRPr="00EB2189">
        <w:rPr>
          <w:i/>
          <w:noProof/>
          <w:sz w:val="24"/>
        </w:rPr>
        <w:fldChar w:fldCharType="begin"/>
      </w:r>
      <w:r w:rsidRPr="00EB2189">
        <w:rPr>
          <w:i/>
          <w:noProof/>
          <w:sz w:val="24"/>
        </w:rPr>
        <w:instrText xml:space="preserve"> PAGEREF _Toc513463337 \h </w:instrText>
      </w:r>
      <w:r w:rsidRPr="00EB2189">
        <w:rPr>
          <w:i/>
          <w:noProof/>
          <w:sz w:val="24"/>
        </w:rPr>
      </w:r>
      <w:r w:rsidRPr="00EB2189">
        <w:rPr>
          <w:i/>
          <w:noProof/>
          <w:sz w:val="24"/>
        </w:rPr>
        <w:fldChar w:fldCharType="separate"/>
      </w:r>
      <w:r w:rsidR="00A64D10">
        <w:rPr>
          <w:i/>
          <w:noProof/>
          <w:sz w:val="24"/>
        </w:rPr>
        <w:t>10</w:t>
      </w:r>
      <w:r w:rsidRPr="00EB2189">
        <w:rPr>
          <w:i/>
          <w:noProof/>
          <w:sz w:val="24"/>
        </w:rPr>
        <w:fldChar w:fldCharType="end"/>
      </w:r>
    </w:p>
    <w:p w14:paraId="13830F28" w14:textId="2F655B27" w:rsidR="00D04592" w:rsidRPr="00EB2189" w:rsidRDefault="00D04592" w:rsidP="00AA0F2B">
      <w:pPr>
        <w:pStyle w:val="TOC3"/>
        <w:tabs>
          <w:tab w:val="right" w:leader="dot" w:pos="9350"/>
        </w:tabs>
        <w:spacing w:before="240" w:after="360"/>
        <w:ind w:left="0"/>
        <w:rPr>
          <w:rFonts w:ascii="Arial" w:eastAsiaTheme="minorEastAsia" w:hAnsi="Arial" w:cs="Arial"/>
          <w:i/>
          <w:noProof/>
          <w:sz w:val="24"/>
          <w:szCs w:val="32"/>
        </w:rPr>
      </w:pPr>
      <w:r w:rsidRPr="00AE0B7B">
        <w:rPr>
          <w:rFonts w:ascii="Arial" w:hAnsi="Arial" w:cs="Arial"/>
          <w:b/>
          <w:i/>
          <w:noProof/>
          <w:sz w:val="24"/>
          <w:szCs w:val="32"/>
        </w:rPr>
        <w:t>APPENDIX A: Product or Technology Production</w:t>
      </w:r>
      <w:r w:rsidRPr="00EB2189">
        <w:rPr>
          <w:rFonts w:ascii="Arial" w:hAnsi="Arial" w:cs="Arial"/>
          <w:i/>
          <w:noProof/>
          <w:sz w:val="24"/>
          <w:szCs w:val="32"/>
        </w:rPr>
        <w:tab/>
      </w:r>
      <w:r w:rsidRPr="00EB2189">
        <w:rPr>
          <w:rFonts w:ascii="Arial" w:hAnsi="Arial" w:cs="Arial"/>
          <w:i/>
          <w:noProof/>
          <w:sz w:val="24"/>
          <w:szCs w:val="32"/>
        </w:rPr>
        <w:fldChar w:fldCharType="begin"/>
      </w:r>
      <w:r w:rsidRPr="00EB2189">
        <w:rPr>
          <w:rFonts w:ascii="Arial" w:hAnsi="Arial" w:cs="Arial"/>
          <w:i/>
          <w:noProof/>
          <w:sz w:val="24"/>
          <w:szCs w:val="32"/>
        </w:rPr>
        <w:instrText xml:space="preserve"> PAGEREF _Toc513463338 \h </w:instrText>
      </w:r>
      <w:r w:rsidRPr="00EB2189">
        <w:rPr>
          <w:rFonts w:ascii="Arial" w:hAnsi="Arial" w:cs="Arial"/>
          <w:i/>
          <w:noProof/>
          <w:sz w:val="24"/>
          <w:szCs w:val="32"/>
        </w:rPr>
      </w:r>
      <w:r w:rsidRPr="00EB2189">
        <w:rPr>
          <w:rFonts w:ascii="Arial" w:hAnsi="Arial" w:cs="Arial"/>
          <w:i/>
          <w:noProof/>
          <w:sz w:val="24"/>
          <w:szCs w:val="32"/>
        </w:rPr>
        <w:fldChar w:fldCharType="separate"/>
      </w:r>
      <w:r w:rsidR="00A64D10">
        <w:rPr>
          <w:rFonts w:ascii="Arial" w:hAnsi="Arial" w:cs="Arial"/>
          <w:i/>
          <w:noProof/>
          <w:sz w:val="24"/>
          <w:szCs w:val="32"/>
        </w:rPr>
        <w:t>14</w:t>
      </w:r>
      <w:r w:rsidRPr="00EB2189">
        <w:rPr>
          <w:rFonts w:ascii="Arial" w:hAnsi="Arial" w:cs="Arial"/>
          <w:i/>
          <w:noProof/>
          <w:sz w:val="24"/>
          <w:szCs w:val="32"/>
        </w:rPr>
        <w:fldChar w:fldCharType="end"/>
      </w:r>
    </w:p>
    <w:p w14:paraId="25E927B5" w14:textId="1498887F" w:rsidR="00D04592" w:rsidRPr="00EB2189" w:rsidRDefault="00D04592" w:rsidP="00AA0F2B">
      <w:pPr>
        <w:pStyle w:val="TOC3"/>
        <w:tabs>
          <w:tab w:val="right" w:leader="dot" w:pos="9350"/>
        </w:tabs>
        <w:spacing w:before="240" w:after="360"/>
        <w:ind w:left="0"/>
        <w:rPr>
          <w:rFonts w:ascii="Arial" w:eastAsiaTheme="minorEastAsia" w:hAnsi="Arial" w:cs="Arial"/>
          <w:i/>
          <w:noProof/>
          <w:sz w:val="24"/>
          <w:szCs w:val="32"/>
        </w:rPr>
      </w:pPr>
      <w:r w:rsidRPr="00AE0B7B">
        <w:rPr>
          <w:rFonts w:ascii="Arial" w:hAnsi="Arial" w:cs="Arial"/>
          <w:b/>
          <w:i/>
          <w:noProof/>
          <w:sz w:val="24"/>
          <w:szCs w:val="32"/>
        </w:rPr>
        <w:t>REFERENCES</w:t>
      </w:r>
      <w:r w:rsidRPr="00EB2189">
        <w:rPr>
          <w:rFonts w:ascii="Arial" w:hAnsi="Arial" w:cs="Arial"/>
          <w:i/>
          <w:noProof/>
          <w:sz w:val="24"/>
          <w:szCs w:val="32"/>
        </w:rPr>
        <w:tab/>
      </w:r>
      <w:r w:rsidRPr="00EB2189">
        <w:rPr>
          <w:rFonts w:ascii="Arial" w:hAnsi="Arial" w:cs="Arial"/>
          <w:i/>
          <w:noProof/>
          <w:sz w:val="24"/>
          <w:szCs w:val="32"/>
        </w:rPr>
        <w:fldChar w:fldCharType="begin"/>
      </w:r>
      <w:r w:rsidRPr="00EB2189">
        <w:rPr>
          <w:rFonts w:ascii="Arial" w:hAnsi="Arial" w:cs="Arial"/>
          <w:i/>
          <w:noProof/>
          <w:sz w:val="24"/>
          <w:szCs w:val="32"/>
        </w:rPr>
        <w:instrText xml:space="preserve"> PAGEREF _Toc513463339 \h </w:instrText>
      </w:r>
      <w:r w:rsidRPr="00EB2189">
        <w:rPr>
          <w:rFonts w:ascii="Arial" w:hAnsi="Arial" w:cs="Arial"/>
          <w:i/>
          <w:noProof/>
          <w:sz w:val="24"/>
          <w:szCs w:val="32"/>
        </w:rPr>
      </w:r>
      <w:r w:rsidRPr="00EB2189">
        <w:rPr>
          <w:rFonts w:ascii="Arial" w:hAnsi="Arial" w:cs="Arial"/>
          <w:i/>
          <w:noProof/>
          <w:sz w:val="24"/>
          <w:szCs w:val="32"/>
        </w:rPr>
        <w:fldChar w:fldCharType="separate"/>
      </w:r>
      <w:r w:rsidR="00A64D10">
        <w:rPr>
          <w:rFonts w:ascii="Arial" w:hAnsi="Arial" w:cs="Arial"/>
          <w:b/>
          <w:bCs/>
          <w:i/>
          <w:noProof/>
          <w:sz w:val="24"/>
          <w:szCs w:val="32"/>
        </w:rPr>
        <w:t>Error! Bookmark not defined.</w:t>
      </w:r>
      <w:r w:rsidRPr="00EB2189">
        <w:rPr>
          <w:rFonts w:ascii="Arial" w:hAnsi="Arial" w:cs="Arial"/>
          <w:i/>
          <w:noProof/>
          <w:sz w:val="24"/>
          <w:szCs w:val="32"/>
        </w:rPr>
        <w:fldChar w:fldCharType="end"/>
      </w:r>
    </w:p>
    <w:p w14:paraId="0DD503CE" w14:textId="4C327CB8" w:rsidR="00AD688A" w:rsidRPr="00AA0F2B" w:rsidRDefault="00D04592" w:rsidP="00AA0F2B">
      <w:pPr>
        <w:pStyle w:val="TOCHeading"/>
        <w:spacing w:before="240" w:after="360"/>
        <w:ind w:left="0"/>
        <w:rPr>
          <w:b w:val="0"/>
          <w:sz w:val="24"/>
        </w:rPr>
      </w:pPr>
      <w:r w:rsidRPr="00EB2189">
        <w:rPr>
          <w:b w:val="0"/>
          <w:sz w:val="24"/>
        </w:rPr>
        <w:fldChar w:fldCharType="end"/>
      </w:r>
    </w:p>
    <w:p w14:paraId="6BD49422" w14:textId="77777777" w:rsidR="004640BF" w:rsidRPr="0015132A" w:rsidRDefault="004640BF" w:rsidP="0015132A">
      <w:pPr>
        <w:pStyle w:val="Caption"/>
        <w:sectPr w:rsidR="004640BF" w:rsidRPr="0015132A" w:rsidSect="004640BF">
          <w:footerReference w:type="first" r:id="rId11"/>
          <w:pgSz w:w="12240" w:h="15840"/>
          <w:pgMar w:top="1440" w:right="1440" w:bottom="1440" w:left="1440" w:header="0" w:footer="720" w:gutter="0"/>
          <w:pgNumType w:start="1"/>
          <w:cols w:space="720"/>
          <w:noEndnote/>
          <w:titlePg/>
          <w:docGrid w:linePitch="360"/>
        </w:sectPr>
      </w:pPr>
    </w:p>
    <w:p w14:paraId="3A39D233" w14:textId="2AC690E7" w:rsidR="00AF7E16" w:rsidRPr="00AF7E16" w:rsidRDefault="00AF7E16" w:rsidP="00AF7E16">
      <w:pPr>
        <w:jc w:val="center"/>
        <w:rPr>
          <w:i w:val="0"/>
        </w:rPr>
      </w:pPr>
      <w:r w:rsidRPr="00AF7E16">
        <w:rPr>
          <w:i w:val="0"/>
        </w:rPr>
        <w:lastRenderedPageBreak/>
        <w:t>Acknowledgment:  This material is based upon work supported by the Department of Energy under Award Number(s) DE-OE0000882.</w:t>
      </w:r>
    </w:p>
    <w:p w14:paraId="5741D34E" w14:textId="77777777" w:rsidR="00AF7E16" w:rsidRPr="00AF7E16" w:rsidRDefault="00AF7E16" w:rsidP="00AF7E16">
      <w:pPr>
        <w:jc w:val="center"/>
        <w:rPr>
          <w:i w:val="0"/>
        </w:rPr>
      </w:pPr>
    </w:p>
    <w:p w14:paraId="7DD06468" w14:textId="24467ACA" w:rsidR="00E647C1" w:rsidRPr="00DF41D8" w:rsidRDefault="00AF7E16" w:rsidP="00AF7E16">
      <w:pPr>
        <w:jc w:val="center"/>
        <w:rPr>
          <w:rFonts w:eastAsia="Times New Roman"/>
          <w:b/>
          <w:color w:val="0000FF"/>
          <w:sz w:val="44"/>
          <w:szCs w:val="20"/>
        </w:rPr>
      </w:pPr>
      <w:r w:rsidRPr="00AF7E16">
        <w:rPr>
          <w:i w:val="0"/>
        </w:rPr>
        <w:t>Disclaimer:  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r w:rsidR="00E647C1" w:rsidRPr="00DF41D8">
        <w:rPr>
          <w:b/>
          <w:color w:val="0000FF"/>
          <w:sz w:val="36"/>
        </w:rPr>
        <w:br w:type="page"/>
      </w:r>
    </w:p>
    <w:p w14:paraId="1F9AF408" w14:textId="7B516D05" w:rsidR="00CE492E" w:rsidRPr="004C0378" w:rsidRDefault="00CE492E" w:rsidP="00CC25B9">
      <w:pPr>
        <w:pStyle w:val="Heading2"/>
      </w:pPr>
      <w:bookmarkStart w:id="0" w:name="_Toc513462899"/>
      <w:bookmarkStart w:id="1" w:name="_Toc513463331"/>
      <w:r w:rsidRPr="004C0378">
        <w:lastRenderedPageBreak/>
        <w:t>LIST OF TABLES</w:t>
      </w:r>
      <w:bookmarkEnd w:id="0"/>
      <w:bookmarkEnd w:id="1"/>
    </w:p>
    <w:p w14:paraId="4B581B1D" w14:textId="67A20AD9" w:rsidR="00C32EBD" w:rsidRDefault="00C32EBD" w:rsidP="00C32EBD">
      <w:pPr>
        <w:widowControl w:val="0"/>
        <w:spacing w:before="100" w:after="0"/>
        <w:ind w:right="-180"/>
        <w:contextualSpacing/>
        <w:jc w:val="left"/>
        <w:rPr>
          <w:rFonts w:eastAsia="Times New Roman"/>
          <w:i w:val="0"/>
          <w:iCs/>
        </w:rPr>
      </w:pPr>
    </w:p>
    <w:p w14:paraId="4E871C65" w14:textId="77777777" w:rsidR="00267727" w:rsidRDefault="00267727" w:rsidP="00C32EBD">
      <w:pPr>
        <w:widowControl w:val="0"/>
        <w:spacing w:before="100" w:after="0"/>
        <w:ind w:right="-180"/>
        <w:contextualSpacing/>
        <w:jc w:val="left"/>
        <w:rPr>
          <w:rFonts w:eastAsia="Times New Roman"/>
          <w:i w:val="0"/>
          <w:iCs/>
        </w:rPr>
      </w:pPr>
    </w:p>
    <w:p w14:paraId="48F30DF6" w14:textId="40621AE2" w:rsidR="00C32EBD" w:rsidRDefault="00C32EBD" w:rsidP="00C32EBD">
      <w:pPr>
        <w:widowControl w:val="0"/>
        <w:spacing w:before="100" w:after="240"/>
        <w:ind w:right="-180"/>
        <w:contextualSpacing/>
        <w:jc w:val="left"/>
        <w:rPr>
          <w:rFonts w:eastAsia="Times New Roman"/>
          <w:i w:val="0"/>
          <w:iCs/>
        </w:rPr>
      </w:pPr>
      <w:r w:rsidRPr="00C32EBD">
        <w:rPr>
          <w:rFonts w:eastAsia="Times New Roman"/>
          <w:i w:val="0"/>
          <w:iCs/>
        </w:rPr>
        <w:t>Table 1: Result of continuous-time UC model for different values of modeling accuracy</w:t>
      </w:r>
    </w:p>
    <w:p w14:paraId="0EAE223A" w14:textId="77777777" w:rsidR="00C32EBD" w:rsidRPr="00C32EBD" w:rsidRDefault="00C32EBD" w:rsidP="00C32EBD">
      <w:pPr>
        <w:widowControl w:val="0"/>
        <w:spacing w:before="100" w:after="240"/>
        <w:ind w:right="-180"/>
        <w:contextualSpacing/>
        <w:jc w:val="left"/>
        <w:rPr>
          <w:rFonts w:eastAsia="Times New Roman"/>
          <w:i w:val="0"/>
          <w:iCs/>
        </w:rPr>
      </w:pPr>
    </w:p>
    <w:p w14:paraId="05D35DED" w14:textId="77777777" w:rsidR="00C32EBD" w:rsidRPr="00C32EBD" w:rsidRDefault="00C32EBD" w:rsidP="00C32EBD">
      <w:pPr>
        <w:widowControl w:val="0"/>
        <w:spacing w:before="100" w:after="240"/>
        <w:contextualSpacing/>
        <w:jc w:val="left"/>
        <w:rPr>
          <w:rFonts w:eastAsia="Times New Roman"/>
          <w:i w:val="0"/>
          <w:iCs/>
        </w:rPr>
      </w:pPr>
      <w:r w:rsidRPr="00C32EBD">
        <w:rPr>
          <w:rFonts w:eastAsia="Times New Roman"/>
          <w:i w:val="0"/>
          <w:iCs/>
        </w:rPr>
        <w:t>Table 2: Result of discrete-time UC model for different values of modeling accuracy</w:t>
      </w:r>
    </w:p>
    <w:p w14:paraId="500E65F8" w14:textId="49BEFBC7" w:rsidR="00F43349" w:rsidRPr="00C32EBD" w:rsidRDefault="00F43349" w:rsidP="00C32EBD">
      <w:pPr>
        <w:jc w:val="left"/>
      </w:pPr>
    </w:p>
    <w:p w14:paraId="3ECDD1EB" w14:textId="77777777" w:rsidR="00C32EBD" w:rsidRDefault="00C32EBD" w:rsidP="00343C20">
      <w:pPr>
        <w:jc w:val="center"/>
      </w:pPr>
    </w:p>
    <w:p w14:paraId="4091FC26" w14:textId="77777777" w:rsidR="00F43349" w:rsidRDefault="00F43349" w:rsidP="00CC25B9"/>
    <w:p w14:paraId="31738C7E" w14:textId="77777777" w:rsidR="00F43349" w:rsidRDefault="00F43349" w:rsidP="00CC25B9"/>
    <w:p w14:paraId="3D6BE2C8" w14:textId="77777777" w:rsidR="00F43349" w:rsidRDefault="00F43349" w:rsidP="00CC25B9"/>
    <w:p w14:paraId="61EF068F" w14:textId="77777777" w:rsidR="00F43349" w:rsidRDefault="00F43349" w:rsidP="00CC25B9">
      <w:r>
        <w:br w:type="page"/>
      </w:r>
    </w:p>
    <w:p w14:paraId="10FEEAA4" w14:textId="52ECCFDC" w:rsidR="004C0378" w:rsidRDefault="004C0378" w:rsidP="00CC25B9">
      <w:pPr>
        <w:pStyle w:val="Heading2"/>
      </w:pPr>
      <w:bookmarkStart w:id="2" w:name="_Toc513462900"/>
      <w:bookmarkStart w:id="3" w:name="_Toc513463332"/>
      <w:r>
        <w:lastRenderedPageBreak/>
        <w:t>LIST OF FIGURES</w:t>
      </w:r>
      <w:bookmarkEnd w:id="2"/>
      <w:bookmarkEnd w:id="3"/>
    </w:p>
    <w:p w14:paraId="51626FCF" w14:textId="77777777" w:rsidR="00C32EBD" w:rsidRDefault="00C32EBD" w:rsidP="00C32EBD">
      <w:pPr>
        <w:rPr>
          <w:i w:val="0"/>
          <w:iCs/>
          <w:sz w:val="20"/>
          <w:szCs w:val="20"/>
        </w:rPr>
      </w:pPr>
    </w:p>
    <w:p w14:paraId="49ACBE73" w14:textId="55D116BF" w:rsidR="00C32EBD" w:rsidRPr="00C32EBD" w:rsidRDefault="00C32EBD" w:rsidP="00C32EBD">
      <w:pPr>
        <w:rPr>
          <w:i w:val="0"/>
          <w:iCs/>
        </w:rPr>
      </w:pPr>
      <w:r w:rsidRPr="00C32EBD">
        <w:rPr>
          <w:i w:val="0"/>
          <w:iCs/>
        </w:rPr>
        <w:t>Fig. 1: Modeling fidelity of decision trajectories in electricity markets: (a) Day-ahead generation trajectory, (b) Realtime generation trajectories associated with net-load realizations, (c) up and down flexibility reserve capacity trajectories.</w:t>
      </w:r>
    </w:p>
    <w:p w14:paraId="1842D74A" w14:textId="694CFDAD" w:rsidR="00F43349" w:rsidRDefault="00F43349" w:rsidP="00343C20">
      <w:pPr>
        <w:jc w:val="center"/>
      </w:pPr>
      <w:r>
        <w:br w:type="page"/>
      </w:r>
    </w:p>
    <w:p w14:paraId="15C83C66" w14:textId="77777777" w:rsidR="00772C50" w:rsidRDefault="004C0378" w:rsidP="00CC25B9">
      <w:pPr>
        <w:pStyle w:val="Heading2"/>
      </w:pPr>
      <w:bookmarkStart w:id="4" w:name="_Toc513462901"/>
      <w:bookmarkStart w:id="5" w:name="_Toc513463333"/>
      <w:r>
        <w:lastRenderedPageBreak/>
        <w:t>LIST OF ACRONYMS AND ABBREVIATIONS</w:t>
      </w:r>
      <w:bookmarkEnd w:id="4"/>
      <w:bookmarkEnd w:id="5"/>
    </w:p>
    <w:p w14:paraId="76B7E908" w14:textId="606CF8A1" w:rsidR="00C32EBD" w:rsidRDefault="00C32EBD" w:rsidP="00C32EBD">
      <w:pPr>
        <w:jc w:val="left"/>
      </w:pPr>
    </w:p>
    <w:p w14:paraId="4F8B18FF" w14:textId="5D7B3B18" w:rsidR="00C32EBD" w:rsidRDefault="00C32EBD" w:rsidP="00711E38">
      <w:pPr>
        <w:pStyle w:val="ListParagraph"/>
        <w:numPr>
          <w:ilvl w:val="0"/>
          <w:numId w:val="11"/>
        </w:numPr>
        <w:jc w:val="left"/>
      </w:pPr>
      <w:r>
        <w:t>RES: Renewable Energy Sources</w:t>
      </w:r>
    </w:p>
    <w:p w14:paraId="5B9702C0" w14:textId="367711AD" w:rsidR="00C32EBD" w:rsidRDefault="00C32EBD" w:rsidP="00711E38">
      <w:pPr>
        <w:pStyle w:val="ListParagraph"/>
        <w:numPr>
          <w:ilvl w:val="0"/>
          <w:numId w:val="11"/>
        </w:numPr>
        <w:jc w:val="left"/>
      </w:pPr>
      <w:r>
        <w:t>ES: Energy Storage</w:t>
      </w:r>
    </w:p>
    <w:p w14:paraId="10EDF7BC" w14:textId="1E5CD7EA" w:rsidR="00C32EBD" w:rsidRDefault="00C32EBD" w:rsidP="00711E38">
      <w:pPr>
        <w:pStyle w:val="ListParagraph"/>
        <w:numPr>
          <w:ilvl w:val="0"/>
          <w:numId w:val="11"/>
        </w:numPr>
        <w:jc w:val="left"/>
      </w:pPr>
      <w:r>
        <w:t>UC: Unit Commitment</w:t>
      </w:r>
    </w:p>
    <w:p w14:paraId="6AD3E626" w14:textId="25F7B732" w:rsidR="00C32EBD" w:rsidRDefault="00C32EBD" w:rsidP="00711E38">
      <w:pPr>
        <w:pStyle w:val="ListParagraph"/>
        <w:numPr>
          <w:ilvl w:val="0"/>
          <w:numId w:val="11"/>
        </w:numPr>
        <w:jc w:val="left"/>
      </w:pPr>
      <w:r w:rsidRPr="00A41ECB">
        <w:t>LVSE</w:t>
      </w:r>
      <w:r>
        <w:t>: L</w:t>
      </w:r>
      <w:r w:rsidRPr="00A41ECB">
        <w:t xml:space="preserve">ocational </w:t>
      </w:r>
      <w:r>
        <w:t>V</w:t>
      </w:r>
      <w:r w:rsidRPr="00A41ECB">
        <w:t xml:space="preserve">alue of </w:t>
      </w:r>
      <w:r>
        <w:t>S</w:t>
      </w:r>
      <w:r w:rsidRPr="00A41ECB">
        <w:t xml:space="preserve">tored </w:t>
      </w:r>
      <w:r>
        <w:t>E</w:t>
      </w:r>
      <w:r w:rsidRPr="00A41ECB">
        <w:t>nergy</w:t>
      </w:r>
    </w:p>
    <w:p w14:paraId="2B3BBF00" w14:textId="7E25B8D9" w:rsidR="00C32EBD" w:rsidRDefault="00C32EBD" w:rsidP="00711E38">
      <w:pPr>
        <w:pStyle w:val="ListParagraph"/>
        <w:numPr>
          <w:ilvl w:val="0"/>
          <w:numId w:val="11"/>
        </w:numPr>
        <w:jc w:val="left"/>
      </w:pPr>
      <w:r>
        <w:t>MILP: Mixed-Integer Linear Programming</w:t>
      </w:r>
    </w:p>
    <w:p w14:paraId="08316608" w14:textId="5C435C8A" w:rsidR="00C32EBD" w:rsidRDefault="00C32EBD" w:rsidP="00711E38">
      <w:pPr>
        <w:pStyle w:val="ListParagraph"/>
        <w:numPr>
          <w:ilvl w:val="0"/>
          <w:numId w:val="11"/>
        </w:numPr>
        <w:jc w:val="left"/>
      </w:pPr>
      <w:r>
        <w:t>LMP: Locational Marginal Price</w:t>
      </w:r>
    </w:p>
    <w:p w14:paraId="1DB4C519" w14:textId="77777777" w:rsidR="00C32EBD" w:rsidRDefault="00C32EBD" w:rsidP="00C32EBD">
      <w:pPr>
        <w:jc w:val="left"/>
      </w:pPr>
    </w:p>
    <w:p w14:paraId="71528EA8" w14:textId="1C334A59" w:rsidR="00264C86" w:rsidRPr="004640BF" w:rsidRDefault="00264C86" w:rsidP="00711E38">
      <w:pPr>
        <w:pStyle w:val="ListParagraph"/>
        <w:numPr>
          <w:ilvl w:val="0"/>
          <w:numId w:val="10"/>
        </w:numPr>
        <w:jc w:val="center"/>
      </w:pPr>
      <w:r w:rsidRPr="004640BF">
        <w:br w:type="page"/>
      </w:r>
    </w:p>
    <w:p w14:paraId="0737C928" w14:textId="641659A9" w:rsidR="00423FF3" w:rsidRPr="00CC25B9" w:rsidRDefault="00490471" w:rsidP="00CC25B9">
      <w:pPr>
        <w:pStyle w:val="Heading1"/>
      </w:pPr>
      <w:bookmarkStart w:id="6" w:name="_Toc513462902"/>
      <w:bookmarkStart w:id="7" w:name="_Toc513463334"/>
      <w:r w:rsidRPr="00CC25B9">
        <w:lastRenderedPageBreak/>
        <w:t>Executive Summary</w:t>
      </w:r>
      <w:bookmarkEnd w:id="6"/>
      <w:bookmarkEnd w:id="7"/>
    </w:p>
    <w:p w14:paraId="711A66E4" w14:textId="63A602D3" w:rsidR="00C32EBD" w:rsidRDefault="00C32EBD" w:rsidP="00C32EBD">
      <w:pPr>
        <w:rPr>
          <w:i w:val="0"/>
          <w:iCs/>
        </w:rPr>
      </w:pPr>
      <w:r>
        <w:rPr>
          <w:i w:val="0"/>
          <w:iCs/>
        </w:rPr>
        <w:t>L</w:t>
      </w:r>
      <w:r w:rsidRPr="00A33174">
        <w:rPr>
          <w:i w:val="0"/>
          <w:iCs/>
        </w:rPr>
        <w:t xml:space="preserve">arge-scale </w:t>
      </w:r>
      <w:r w:rsidRPr="009C5268">
        <w:rPr>
          <w:i w:val="0"/>
          <w:iCs/>
        </w:rPr>
        <w:t xml:space="preserve">integration of intermittent renewable energy sources (RES) is calling for additional flexibility resources as well as more advanced modeling and optimization techniques to account for the increasing uncertainty and variability in power systems operation. As the RES integration gains momentum, the magnitude and frequency of their variations increase, which may trigger ramping scarcity events in real-time power systems operation. This necessitates revisiting the present definition of power systems flexibility and reserve services </w:t>
      </w:r>
      <w:r w:rsidR="00451A8C" w:rsidRPr="009C5268">
        <w:rPr>
          <w:i w:val="0"/>
          <w:iCs/>
        </w:rPr>
        <w:t>to</w:t>
      </w:r>
      <w:r w:rsidRPr="009C5268">
        <w:rPr>
          <w:i w:val="0"/>
          <w:iCs/>
        </w:rPr>
        <w:t xml:space="preserve"> reflect their robustness and adequacy towards sub-interval variations of the load and RES, as well as adjusting the operation models to accommodate the new reserve services</w:t>
      </w:r>
      <w:r>
        <w:rPr>
          <w:i w:val="0"/>
          <w:iCs/>
        </w:rPr>
        <w:t>.</w:t>
      </w:r>
    </w:p>
    <w:p w14:paraId="1CEA2BB2" w14:textId="1A3B271C" w:rsidR="00C32EBD" w:rsidRDefault="00C32EBD" w:rsidP="00C32EBD">
      <w:pPr>
        <w:rPr>
          <w:i w:val="0"/>
          <w:iCs/>
        </w:rPr>
      </w:pPr>
      <w:r>
        <w:rPr>
          <w:i w:val="0"/>
          <w:iCs/>
        </w:rPr>
        <w:t>T</w:t>
      </w:r>
      <w:r w:rsidRPr="00F12D88">
        <w:rPr>
          <w:i w:val="0"/>
          <w:iCs/>
        </w:rPr>
        <w:t xml:space="preserve">his </w:t>
      </w:r>
      <w:r>
        <w:rPr>
          <w:i w:val="0"/>
          <w:iCs/>
        </w:rPr>
        <w:t>project</w:t>
      </w:r>
      <w:r w:rsidRPr="00F12D88">
        <w:rPr>
          <w:i w:val="0"/>
          <w:iCs/>
        </w:rPr>
        <w:t xml:space="preserve"> t</w:t>
      </w:r>
      <w:r>
        <w:rPr>
          <w:i w:val="0"/>
          <w:iCs/>
        </w:rPr>
        <w:t>ook</w:t>
      </w:r>
      <w:r w:rsidRPr="00F12D88">
        <w:rPr>
          <w:i w:val="0"/>
          <w:iCs/>
        </w:rPr>
        <w:t xml:space="preserve"> a fundamental</w:t>
      </w:r>
      <w:r>
        <w:rPr>
          <w:i w:val="0"/>
          <w:iCs/>
        </w:rPr>
        <w:t xml:space="preserve"> </w:t>
      </w:r>
      <w:r w:rsidRPr="00F12D88">
        <w:rPr>
          <w:i w:val="0"/>
          <w:iCs/>
        </w:rPr>
        <w:t xml:space="preserve">approach and </w:t>
      </w:r>
      <w:r>
        <w:rPr>
          <w:i w:val="0"/>
          <w:iCs/>
        </w:rPr>
        <w:t xml:space="preserve">aimed at developing </w:t>
      </w:r>
      <w:r w:rsidRPr="00F12D88">
        <w:rPr>
          <w:i w:val="0"/>
          <w:iCs/>
        </w:rPr>
        <w:t xml:space="preserve">continuous-time </w:t>
      </w:r>
      <w:r>
        <w:rPr>
          <w:i w:val="0"/>
          <w:iCs/>
        </w:rPr>
        <w:t xml:space="preserve">scheduling and pricing </w:t>
      </w:r>
      <w:r w:rsidRPr="00F12D88">
        <w:rPr>
          <w:i w:val="0"/>
          <w:iCs/>
        </w:rPr>
        <w:t xml:space="preserve">model that accurately models the continuous-time variations of load and RES and efficiently deploys the ramping capability of flexible resources to compensate the sources of variability and uncertainty in the market. </w:t>
      </w:r>
      <w:r>
        <w:rPr>
          <w:i w:val="0"/>
          <w:iCs/>
        </w:rPr>
        <w:t xml:space="preserve">In this regard, this project pursued the following goals: </w:t>
      </w:r>
    </w:p>
    <w:p w14:paraId="5E9B10AC" w14:textId="77777777" w:rsidR="00C32EBD" w:rsidRDefault="00C32EBD" w:rsidP="00C32EBD">
      <w:pPr>
        <w:pStyle w:val="ListParagraph"/>
        <w:spacing w:after="0"/>
      </w:pPr>
      <w:r w:rsidRPr="00A3552E">
        <w:t xml:space="preserve">Developing </w:t>
      </w:r>
      <w:r>
        <w:t xml:space="preserve">stochastic multi-fidelity </w:t>
      </w:r>
      <w:r w:rsidRPr="00A3552E">
        <w:t>continuous</w:t>
      </w:r>
      <w:r w:rsidRPr="00A3552E">
        <w:rPr>
          <w:rFonts w:eastAsia="Times New Roman" w:cs="Times New Roman"/>
          <w:szCs w:val="20"/>
        </w:rPr>
        <w:t>-</w:t>
      </w:r>
      <w:r w:rsidRPr="00A3552E">
        <w:t xml:space="preserve">time </w:t>
      </w:r>
      <w:r>
        <w:t>optimization models for scheduling of energy storage (ES) systems and flexible loads in wholesale energy markets</w:t>
      </w:r>
    </w:p>
    <w:p w14:paraId="7DDB7B7C" w14:textId="77777777" w:rsidR="00C32EBD" w:rsidRDefault="00C32EBD" w:rsidP="00C32EBD">
      <w:pPr>
        <w:pStyle w:val="ListParagraph"/>
        <w:spacing w:after="0"/>
      </w:pPr>
      <w:r>
        <w:t>Developing the theory and practices of continuous-time locational marginal pricing for valuating energy storage systems and flexible loads in wholesale energy markets</w:t>
      </w:r>
    </w:p>
    <w:p w14:paraId="681D3E8D" w14:textId="77777777" w:rsidR="00C32EBD" w:rsidRDefault="00C32EBD" w:rsidP="00C32EBD">
      <w:pPr>
        <w:pStyle w:val="ListParagraph"/>
        <w:spacing w:after="0"/>
      </w:pPr>
      <w:r>
        <w:t xml:space="preserve">Developing function space solution approach to convert the proposed stochastic multi-fidelity </w:t>
      </w:r>
      <w:r w:rsidRPr="00A3552E">
        <w:t>continuous</w:t>
      </w:r>
      <w:r w:rsidRPr="00A3552E">
        <w:rPr>
          <w:rFonts w:eastAsia="Times New Roman" w:cs="Times New Roman"/>
          <w:szCs w:val="20"/>
        </w:rPr>
        <w:t>-</w:t>
      </w:r>
      <w:r w:rsidRPr="00A3552E">
        <w:t xml:space="preserve">time </w:t>
      </w:r>
      <w:r>
        <w:t>optimization models into tractable mixed-integer linear optimization models</w:t>
      </w:r>
    </w:p>
    <w:p w14:paraId="44F5A6D3" w14:textId="45AEB3C1" w:rsidR="00C32EBD" w:rsidRPr="00A3552E" w:rsidRDefault="00C32EBD" w:rsidP="00C32EBD">
      <w:pPr>
        <w:pStyle w:val="ListParagraph"/>
        <w:spacing w:after="0"/>
      </w:pPr>
      <w:r>
        <w:t>Defining flexibility reserve as a new type of reserve in markets that would enable ultimate participation of energy storage devices in provision of services to compensate the variability and uncertainty of RES in electricity markets</w:t>
      </w:r>
    </w:p>
    <w:p w14:paraId="1F0DD34E" w14:textId="77777777" w:rsidR="00C32EBD" w:rsidRDefault="00C32EBD" w:rsidP="00C32EBD">
      <w:pPr>
        <w:rPr>
          <w:i w:val="0"/>
          <w:iCs/>
        </w:rPr>
      </w:pPr>
    </w:p>
    <w:p w14:paraId="2C23043C" w14:textId="6115CBAB" w:rsidR="00AC514B" w:rsidRPr="004640BF" w:rsidRDefault="00C32EBD" w:rsidP="00C32EBD">
      <w:r>
        <w:rPr>
          <w:i w:val="0"/>
          <w:iCs/>
        </w:rPr>
        <w:t xml:space="preserve">This project successfully completed all five major tasks defined in the SOPO, and produced </w:t>
      </w:r>
      <w:r w:rsidRPr="00C32EBD">
        <w:rPr>
          <w:i w:val="0"/>
          <w:iCs/>
        </w:rPr>
        <w:t xml:space="preserve">8 high-impact journal papers, 6 conference papers, 3 published U.S. patents, and one web-based software for continuous-time operation optimization of power systems. </w:t>
      </w:r>
      <w:r w:rsidRPr="00E94FC0">
        <w:rPr>
          <w:i w:val="0"/>
          <w:iCs/>
        </w:rPr>
        <w:t xml:space="preserve">The application of the proposed </w:t>
      </w:r>
      <w:r>
        <w:rPr>
          <w:i w:val="0"/>
          <w:iCs/>
        </w:rPr>
        <w:t xml:space="preserve">flexibility reserve and the stochastic multi-fidelity </w:t>
      </w:r>
      <w:r w:rsidRPr="00E94FC0">
        <w:rPr>
          <w:i w:val="0"/>
          <w:iCs/>
        </w:rPr>
        <w:t>continuous-time operation scheduling models would modify the forward commitment and schedule of generating units, ES devices and flexible loads, and would line up the resources in such a way that the composition of available resources is better prepared to respond to the sub-hourly variations of the load and renewable resources in real-time operation. Therefore, this project pave</w:t>
      </w:r>
      <w:r>
        <w:rPr>
          <w:i w:val="0"/>
          <w:iCs/>
        </w:rPr>
        <w:t>s</w:t>
      </w:r>
      <w:r w:rsidRPr="00E94FC0">
        <w:rPr>
          <w:i w:val="0"/>
          <w:iCs/>
        </w:rPr>
        <w:t xml:space="preserve"> the way to sustainable, reliable, and economic integration of renewable energy resources in power system, supporting the progress towards reaching the national targets on energy independence. Even if </w:t>
      </w:r>
      <w:r>
        <w:rPr>
          <w:i w:val="0"/>
          <w:iCs/>
        </w:rPr>
        <w:t>the proposed</w:t>
      </w:r>
      <w:r w:rsidRPr="00E94FC0">
        <w:rPr>
          <w:i w:val="0"/>
          <w:iCs/>
        </w:rPr>
        <w:t xml:space="preserve"> </w:t>
      </w:r>
      <w:r>
        <w:rPr>
          <w:i w:val="0"/>
          <w:iCs/>
        </w:rPr>
        <w:t>models</w:t>
      </w:r>
      <w:r w:rsidRPr="00E94FC0">
        <w:rPr>
          <w:i w:val="0"/>
          <w:iCs/>
        </w:rPr>
        <w:t xml:space="preserve"> offers a radically different point of view</w:t>
      </w:r>
      <w:r>
        <w:rPr>
          <w:i w:val="0"/>
          <w:iCs/>
        </w:rPr>
        <w:t xml:space="preserve"> as compared to existing models</w:t>
      </w:r>
      <w:r w:rsidRPr="00E94FC0">
        <w:rPr>
          <w:i w:val="0"/>
          <w:iCs/>
        </w:rPr>
        <w:t>, it does not alter fundamentally the architecture of power systems operations, nor the complexity of the scheduling problem, so the integration of this project in power systems is extremely practical.</w:t>
      </w:r>
      <w:r w:rsidR="00AC514B" w:rsidRPr="004640BF">
        <w:br w:type="page"/>
      </w:r>
    </w:p>
    <w:p w14:paraId="231DB756" w14:textId="1CEE891C" w:rsidR="00A33174" w:rsidRDefault="002844D3" w:rsidP="00A3552E">
      <w:pPr>
        <w:pStyle w:val="Heading1"/>
      </w:pPr>
      <w:bookmarkStart w:id="8" w:name="_Toc513462903"/>
      <w:bookmarkStart w:id="9" w:name="_Toc513463335"/>
      <w:r w:rsidRPr="00CC25B9">
        <w:lastRenderedPageBreak/>
        <w:t>Objectives</w:t>
      </w:r>
      <w:bookmarkEnd w:id="8"/>
      <w:bookmarkEnd w:id="9"/>
    </w:p>
    <w:p w14:paraId="75873574" w14:textId="12E4969A" w:rsidR="00732465" w:rsidRDefault="00732465" w:rsidP="00CC25B9">
      <w:pPr>
        <w:rPr>
          <w:i w:val="0"/>
          <w:iCs/>
        </w:rPr>
      </w:pPr>
      <w:r w:rsidRPr="00732465">
        <w:rPr>
          <w:b/>
          <w:bCs/>
          <w:i w:val="0"/>
          <w:iCs/>
        </w:rPr>
        <w:t>Background</w:t>
      </w:r>
      <w:r w:rsidR="0033370B">
        <w:rPr>
          <w:b/>
          <w:bCs/>
          <w:i w:val="0"/>
          <w:iCs/>
        </w:rPr>
        <w:t xml:space="preserve"> and </w:t>
      </w:r>
      <w:r w:rsidR="0033370B" w:rsidRPr="009C5268">
        <w:rPr>
          <w:b/>
          <w:bCs/>
          <w:i w:val="0"/>
          <w:iCs/>
        </w:rPr>
        <w:t>Motivation</w:t>
      </w:r>
      <w:r>
        <w:rPr>
          <w:i w:val="0"/>
          <w:iCs/>
        </w:rPr>
        <w:t xml:space="preserve">: </w:t>
      </w:r>
      <w:r w:rsidR="00A33174" w:rsidRPr="00A33174">
        <w:rPr>
          <w:i w:val="0"/>
          <w:iCs/>
        </w:rPr>
        <w:t xml:space="preserve">Wholesale electricity market operation is a stochastic, continuous-time, mixed-integer optimization problem that is broken into different time scales, from several days ahead to the real-time market operation, each taking care of certain finite set of commitment status and operation schedules. Among the markets, it is in the day-ahead market that most of the electricity trading occurs. The day-ahead market is cleared through the solution of Unit Commitment (UC) problem, the objective of which is to determine a forward schedule that balances the electricity generation and load demand at minimum cost, while respecting the resources physical constraints that limit the evolution of feasible generation schedules in time, as well as the transmission network conservation laws and flow limits. Reserve capacity, whose availability is also co-optimized in the security-constrained UC, is used to cater for any residual error in the forward decision. </w:t>
      </w:r>
    </w:p>
    <w:p w14:paraId="4D94C4EC" w14:textId="7B1B5582" w:rsidR="00F12D88" w:rsidRDefault="00732465" w:rsidP="00A3552E">
      <w:pPr>
        <w:rPr>
          <w:i w:val="0"/>
          <w:iCs/>
        </w:rPr>
      </w:pPr>
      <w:r>
        <w:rPr>
          <w:i w:val="0"/>
          <w:iCs/>
        </w:rPr>
        <w:t>L</w:t>
      </w:r>
      <w:r w:rsidR="00A33174" w:rsidRPr="00A33174">
        <w:rPr>
          <w:i w:val="0"/>
          <w:iCs/>
        </w:rPr>
        <w:t xml:space="preserve">arge-scale </w:t>
      </w:r>
      <w:r w:rsidR="009C5268" w:rsidRPr="009C5268">
        <w:rPr>
          <w:i w:val="0"/>
          <w:iCs/>
        </w:rPr>
        <w:t xml:space="preserve">integration of intermittent renewable energy sources (RES) is calling for additional flexibility resources as well as more advanced modeling and optimization techniques to account for the increasing uncertainty and variability in power systems operation. As the RES integration gains momentum, the magnitude and frequency of their variations increase, which may trigger ramping scarcity events in real-time power systems operation. This necessitates revisiting the present definition of power systems flexibility and reserve services </w:t>
      </w:r>
      <w:r w:rsidR="00FC6DCA" w:rsidRPr="009C5268">
        <w:rPr>
          <w:i w:val="0"/>
          <w:iCs/>
        </w:rPr>
        <w:t>to</w:t>
      </w:r>
      <w:r w:rsidR="009C5268" w:rsidRPr="009C5268">
        <w:rPr>
          <w:i w:val="0"/>
          <w:iCs/>
        </w:rPr>
        <w:t xml:space="preserve"> reflect their robustness and adequacy towards sub-interval variations of the load and RES, as well as adjusting the operation models to accommodate the new reserve services</w:t>
      </w:r>
      <w:r w:rsidR="00F12D88">
        <w:rPr>
          <w:i w:val="0"/>
          <w:iCs/>
        </w:rPr>
        <w:t>.</w:t>
      </w:r>
    </w:p>
    <w:p w14:paraId="1B0F997D" w14:textId="35F80A49" w:rsidR="00F12D88" w:rsidRDefault="00A3552E" w:rsidP="00F12D88">
      <w:pPr>
        <w:rPr>
          <w:i w:val="0"/>
          <w:iCs/>
        </w:rPr>
      </w:pPr>
      <w:r>
        <w:rPr>
          <w:b/>
          <w:bCs/>
          <w:i w:val="0"/>
          <w:iCs/>
        </w:rPr>
        <w:t>Project Goals</w:t>
      </w:r>
      <w:r w:rsidR="00F12D88">
        <w:rPr>
          <w:i w:val="0"/>
          <w:iCs/>
        </w:rPr>
        <w:t>: T</w:t>
      </w:r>
      <w:r w:rsidR="00F12D88" w:rsidRPr="00F12D88">
        <w:rPr>
          <w:i w:val="0"/>
          <w:iCs/>
        </w:rPr>
        <w:t xml:space="preserve">his </w:t>
      </w:r>
      <w:r w:rsidR="00F12D88">
        <w:rPr>
          <w:i w:val="0"/>
          <w:iCs/>
        </w:rPr>
        <w:t>project</w:t>
      </w:r>
      <w:r w:rsidR="00F12D88" w:rsidRPr="00F12D88">
        <w:rPr>
          <w:i w:val="0"/>
          <w:iCs/>
        </w:rPr>
        <w:t xml:space="preserve"> t</w:t>
      </w:r>
      <w:r w:rsidR="00F12D88">
        <w:rPr>
          <w:i w:val="0"/>
          <w:iCs/>
        </w:rPr>
        <w:t>ook</w:t>
      </w:r>
      <w:r w:rsidR="00F12D88" w:rsidRPr="00F12D88">
        <w:rPr>
          <w:i w:val="0"/>
          <w:iCs/>
        </w:rPr>
        <w:t xml:space="preserve"> a fundamental</w:t>
      </w:r>
      <w:r w:rsidR="00F12D88">
        <w:rPr>
          <w:i w:val="0"/>
          <w:iCs/>
        </w:rPr>
        <w:t xml:space="preserve"> </w:t>
      </w:r>
      <w:r w:rsidR="00F12D88" w:rsidRPr="00F12D88">
        <w:rPr>
          <w:i w:val="0"/>
          <w:iCs/>
        </w:rPr>
        <w:t xml:space="preserve">approach and </w:t>
      </w:r>
      <w:r w:rsidR="00F12D88">
        <w:rPr>
          <w:i w:val="0"/>
          <w:iCs/>
        </w:rPr>
        <w:t xml:space="preserve">aimed at developing </w:t>
      </w:r>
      <w:r w:rsidR="00F12D88" w:rsidRPr="00F12D88">
        <w:rPr>
          <w:i w:val="0"/>
          <w:iCs/>
        </w:rPr>
        <w:t xml:space="preserve">continuous-time </w:t>
      </w:r>
      <w:r w:rsidR="00F12D88">
        <w:rPr>
          <w:i w:val="0"/>
          <w:iCs/>
        </w:rPr>
        <w:t xml:space="preserve">scheduling and pricing </w:t>
      </w:r>
      <w:r w:rsidR="00F12D88" w:rsidRPr="00F12D88">
        <w:rPr>
          <w:i w:val="0"/>
          <w:iCs/>
        </w:rPr>
        <w:t xml:space="preserve">model that accurately models the continuous-time variations of load and RES and efficiently deploys the ramping capability of flexible resources to compensate the sources of variability and uncertainty in the market. </w:t>
      </w:r>
      <w:r>
        <w:rPr>
          <w:i w:val="0"/>
          <w:iCs/>
        </w:rPr>
        <w:t xml:space="preserve">In this regard, this project pursued the following goals: </w:t>
      </w:r>
    </w:p>
    <w:p w14:paraId="07AF5F2D" w14:textId="674A05E2" w:rsidR="00A3552E" w:rsidRDefault="00A3552E" w:rsidP="00A3552E">
      <w:pPr>
        <w:pStyle w:val="ListParagraph"/>
        <w:spacing w:after="0"/>
      </w:pPr>
      <w:r w:rsidRPr="00A3552E">
        <w:t xml:space="preserve">Developing </w:t>
      </w:r>
      <w:r>
        <w:t xml:space="preserve">stochastic multi-fidelity </w:t>
      </w:r>
      <w:r w:rsidRPr="00A3552E">
        <w:t>continuous</w:t>
      </w:r>
      <w:r w:rsidRPr="00A3552E">
        <w:rPr>
          <w:rFonts w:eastAsia="Times New Roman" w:cs="Times New Roman"/>
          <w:szCs w:val="20"/>
        </w:rPr>
        <w:t>-</w:t>
      </w:r>
      <w:r w:rsidRPr="00A3552E">
        <w:t xml:space="preserve">time </w:t>
      </w:r>
      <w:r>
        <w:t>optimization models for scheduling of energy storage</w:t>
      </w:r>
      <w:r w:rsidR="00624D08">
        <w:t xml:space="preserve"> (ES)</w:t>
      </w:r>
      <w:r>
        <w:t xml:space="preserve"> systems and flexible loads in wholesale energy markets</w:t>
      </w:r>
    </w:p>
    <w:p w14:paraId="0EE7DB7E" w14:textId="1507265E" w:rsidR="00A3552E" w:rsidRDefault="00A3552E" w:rsidP="00A3552E">
      <w:pPr>
        <w:pStyle w:val="ListParagraph"/>
        <w:spacing w:after="0"/>
      </w:pPr>
      <w:r>
        <w:t>Developing the theory and practices of continuous-time locational marginal pricing for valuating energy storage systems and flexible loads in wholesale energy markets</w:t>
      </w:r>
    </w:p>
    <w:p w14:paraId="031E23C1" w14:textId="03E0798B" w:rsidR="00A3552E" w:rsidRDefault="00A3552E" w:rsidP="00A3552E">
      <w:pPr>
        <w:pStyle w:val="ListParagraph"/>
        <w:spacing w:after="0"/>
      </w:pPr>
      <w:r>
        <w:t xml:space="preserve">Developing </w:t>
      </w:r>
      <w:r w:rsidR="001D5996">
        <w:t xml:space="preserve">function space solution approach to convert the proposed stochastic multi-fidelity </w:t>
      </w:r>
      <w:r w:rsidR="001D5996" w:rsidRPr="00A3552E">
        <w:t>continuous</w:t>
      </w:r>
      <w:r w:rsidR="001D5996" w:rsidRPr="00A3552E">
        <w:rPr>
          <w:rFonts w:eastAsia="Times New Roman" w:cs="Times New Roman"/>
          <w:szCs w:val="20"/>
        </w:rPr>
        <w:t>-</w:t>
      </w:r>
      <w:r w:rsidR="001D5996" w:rsidRPr="00A3552E">
        <w:t xml:space="preserve">time </w:t>
      </w:r>
      <w:r w:rsidR="001D5996">
        <w:t>optimization models into tractable mixed-integer linear optimization models</w:t>
      </w:r>
    </w:p>
    <w:p w14:paraId="2C78070E" w14:textId="57B90BB9" w:rsidR="00F26997" w:rsidRPr="00A3552E" w:rsidRDefault="001D5996" w:rsidP="00F26997">
      <w:pPr>
        <w:pStyle w:val="ListParagraph"/>
        <w:spacing w:after="0"/>
      </w:pPr>
      <w:r>
        <w:t xml:space="preserve">Developing </w:t>
      </w:r>
      <w:r w:rsidR="00F26997">
        <w:t>flexibility reserve as a new type of reserve in markets that would enable ultimate participation of energy storage devices in provision of services to compensate the variability and uncertainty of RES in electricity markets</w:t>
      </w:r>
    </w:p>
    <w:p w14:paraId="066DF0B3" w14:textId="77777777" w:rsidR="00F12D88" w:rsidRDefault="00F12D88" w:rsidP="00F12D88">
      <w:pPr>
        <w:rPr>
          <w:i w:val="0"/>
          <w:iCs/>
        </w:rPr>
      </w:pPr>
    </w:p>
    <w:p w14:paraId="29EE364D" w14:textId="64720D1D" w:rsidR="00F12D88" w:rsidRPr="00A33174" w:rsidRDefault="00F12D88" w:rsidP="00F12D88">
      <w:pPr>
        <w:rPr>
          <w:i w:val="0"/>
          <w:iCs/>
        </w:rPr>
        <w:sectPr w:rsidR="00F12D88" w:rsidRPr="00A33174" w:rsidSect="0015132A">
          <w:footerReference w:type="default" r:id="rId12"/>
          <w:footerReference w:type="first" r:id="rId13"/>
          <w:pgSz w:w="12240" w:h="15840"/>
          <w:pgMar w:top="1440" w:right="1440" w:bottom="1440" w:left="1440" w:header="0" w:footer="720" w:gutter="0"/>
          <w:pgNumType w:start="1"/>
          <w:cols w:space="720"/>
          <w:noEndnote/>
          <w:docGrid w:linePitch="360"/>
        </w:sectPr>
      </w:pPr>
    </w:p>
    <w:p w14:paraId="32A603FC" w14:textId="74B4EE62" w:rsidR="00F41665" w:rsidRPr="00CC25B9" w:rsidRDefault="005B53BC" w:rsidP="00CC25B9">
      <w:pPr>
        <w:pStyle w:val="Heading1"/>
      </w:pPr>
      <w:bookmarkStart w:id="10" w:name="_Toc513462904"/>
      <w:bookmarkStart w:id="11" w:name="_Toc513463336"/>
      <w:r w:rsidRPr="00CC25B9">
        <w:lastRenderedPageBreak/>
        <w:t>Technical Approach</w:t>
      </w:r>
      <w:bookmarkEnd w:id="10"/>
      <w:bookmarkEnd w:id="11"/>
    </w:p>
    <w:p w14:paraId="2D11DD1A" w14:textId="526442A4" w:rsidR="00624D08" w:rsidRDefault="00624D08" w:rsidP="00CC25B9">
      <w:pPr>
        <w:rPr>
          <w:i w:val="0"/>
          <w:iCs/>
        </w:rPr>
      </w:pPr>
      <w:r w:rsidRPr="00624D08">
        <w:rPr>
          <w:i w:val="0"/>
          <w:iCs/>
        </w:rPr>
        <w:t xml:space="preserve">The hypothesis guiding this </w:t>
      </w:r>
      <w:r>
        <w:rPr>
          <w:i w:val="0"/>
          <w:iCs/>
        </w:rPr>
        <w:t>project</w:t>
      </w:r>
      <w:r w:rsidRPr="00624D08">
        <w:rPr>
          <w:i w:val="0"/>
          <w:iCs/>
        </w:rPr>
        <w:t xml:space="preserve"> </w:t>
      </w:r>
      <w:r w:rsidR="00C32EBD">
        <w:rPr>
          <w:i w:val="0"/>
          <w:iCs/>
        </w:rPr>
        <w:t>is</w:t>
      </w:r>
      <w:r w:rsidRPr="00624D08">
        <w:rPr>
          <w:i w:val="0"/>
          <w:iCs/>
        </w:rPr>
        <w:t xml:space="preserve"> that a crucial bottleneck lies in the representation of the actual continuous-time scheduling decision space in the </w:t>
      </w:r>
      <w:r>
        <w:rPr>
          <w:i w:val="0"/>
          <w:iCs/>
        </w:rPr>
        <w:t>scheduling</w:t>
      </w:r>
      <w:r w:rsidRPr="00624D08">
        <w:rPr>
          <w:i w:val="0"/>
          <w:iCs/>
        </w:rPr>
        <w:t xml:space="preserve"> problem</w:t>
      </w:r>
      <w:r>
        <w:rPr>
          <w:i w:val="0"/>
          <w:iCs/>
        </w:rPr>
        <w:t>s in electricity markets</w:t>
      </w:r>
      <w:r w:rsidRPr="00624D08">
        <w:rPr>
          <w:i w:val="0"/>
          <w:iCs/>
        </w:rPr>
        <w:t xml:space="preserve">. Thus, our focus </w:t>
      </w:r>
      <w:r>
        <w:rPr>
          <w:i w:val="0"/>
          <w:iCs/>
        </w:rPr>
        <w:t>was</w:t>
      </w:r>
      <w:r w:rsidRPr="00624D08">
        <w:rPr>
          <w:i w:val="0"/>
          <w:iCs/>
        </w:rPr>
        <w:t xml:space="preserve"> to improve the accuracy in representing the </w:t>
      </w:r>
      <w:r>
        <w:rPr>
          <w:i w:val="0"/>
          <w:iCs/>
        </w:rPr>
        <w:t xml:space="preserve">evolution of </w:t>
      </w:r>
      <w:r w:rsidRPr="00624D08">
        <w:rPr>
          <w:i w:val="0"/>
          <w:iCs/>
        </w:rPr>
        <w:t xml:space="preserve">decisions and constraints of the </w:t>
      </w:r>
      <w:r>
        <w:rPr>
          <w:i w:val="0"/>
          <w:iCs/>
        </w:rPr>
        <w:t>scheduling</w:t>
      </w:r>
      <w:r w:rsidRPr="00624D08">
        <w:rPr>
          <w:i w:val="0"/>
          <w:iCs/>
        </w:rPr>
        <w:t xml:space="preserve"> problem </w:t>
      </w:r>
      <w:r>
        <w:rPr>
          <w:i w:val="0"/>
          <w:iCs/>
        </w:rPr>
        <w:t>over</w:t>
      </w:r>
      <w:r w:rsidRPr="00624D08">
        <w:rPr>
          <w:i w:val="0"/>
          <w:iCs/>
        </w:rPr>
        <w:t xml:space="preserve"> time. In fact, the dispatchable capacity of the resources and their commitment decisions are continuous-time variables and the </w:t>
      </w:r>
      <w:r>
        <w:rPr>
          <w:i w:val="0"/>
          <w:iCs/>
        </w:rPr>
        <w:t xml:space="preserve">generating </w:t>
      </w:r>
      <w:r w:rsidRPr="00624D08">
        <w:rPr>
          <w:i w:val="0"/>
          <w:iCs/>
        </w:rPr>
        <w:t xml:space="preserve">units’ commitment and ramping limits are continuous-time inter-temporal constraints. Hence, the </w:t>
      </w:r>
      <w:r>
        <w:rPr>
          <w:i w:val="0"/>
          <w:iCs/>
        </w:rPr>
        <w:t>scheduling</w:t>
      </w:r>
      <w:r w:rsidRPr="00624D08">
        <w:rPr>
          <w:i w:val="0"/>
          <w:iCs/>
        </w:rPr>
        <w:t xml:space="preserve"> problem is a continuous-time optimal control problem in nature. The current discrete-time </w:t>
      </w:r>
      <w:r>
        <w:rPr>
          <w:i w:val="0"/>
          <w:iCs/>
        </w:rPr>
        <w:t xml:space="preserve">scheduling </w:t>
      </w:r>
      <w:r w:rsidRPr="00624D08">
        <w:rPr>
          <w:i w:val="0"/>
          <w:iCs/>
        </w:rPr>
        <w:t>model</w:t>
      </w:r>
      <w:r>
        <w:rPr>
          <w:i w:val="0"/>
          <w:iCs/>
        </w:rPr>
        <w:t>s</w:t>
      </w:r>
      <w:r w:rsidRPr="00624D08">
        <w:rPr>
          <w:i w:val="0"/>
          <w:iCs/>
        </w:rPr>
        <w:t xml:space="preserve"> approximate the continuous-time trajectories with hourly temporal samples, implying that units shall follow piecewise constant generation trajectories from one hourly schedule to the next</w:t>
      </w:r>
      <w:r>
        <w:rPr>
          <w:i w:val="0"/>
          <w:iCs/>
        </w:rPr>
        <w:t xml:space="preserve">. </w:t>
      </w:r>
      <w:r w:rsidRPr="00624D08">
        <w:rPr>
          <w:i w:val="0"/>
          <w:iCs/>
        </w:rPr>
        <w:t xml:space="preserve">The piecewise constant generation trajectories are a zero-order approximation of their higher-order continuous-time counterparts that populate the actual decision space over time. </w:t>
      </w:r>
      <w:r>
        <w:rPr>
          <w:i w:val="0"/>
          <w:iCs/>
        </w:rPr>
        <w:t>T</w:t>
      </w:r>
      <w:r w:rsidRPr="00624D08">
        <w:rPr>
          <w:i w:val="0"/>
          <w:iCs/>
        </w:rPr>
        <w:t>his project propose</w:t>
      </w:r>
      <w:r>
        <w:rPr>
          <w:i w:val="0"/>
          <w:iCs/>
        </w:rPr>
        <w:t>d</w:t>
      </w:r>
      <w:r w:rsidRPr="00624D08">
        <w:rPr>
          <w:i w:val="0"/>
          <w:iCs/>
        </w:rPr>
        <w:t xml:space="preserve"> a novel stochastic </w:t>
      </w:r>
      <w:r>
        <w:rPr>
          <w:i w:val="0"/>
          <w:iCs/>
        </w:rPr>
        <w:t xml:space="preserve">multi-fidelity </w:t>
      </w:r>
      <w:r w:rsidRPr="00624D08">
        <w:rPr>
          <w:i w:val="0"/>
          <w:iCs/>
        </w:rPr>
        <w:t xml:space="preserve">continuous-time </w:t>
      </w:r>
      <w:r>
        <w:rPr>
          <w:i w:val="0"/>
          <w:iCs/>
        </w:rPr>
        <w:t>scheduling</w:t>
      </w:r>
      <w:r w:rsidRPr="00624D08">
        <w:rPr>
          <w:i w:val="0"/>
          <w:iCs/>
        </w:rPr>
        <w:t xml:space="preserve"> model that offers a different approach to sampling the information and decision variables in the wholesale markets operation. The proposed stochastic </w:t>
      </w:r>
      <w:r>
        <w:rPr>
          <w:i w:val="0"/>
          <w:iCs/>
        </w:rPr>
        <w:t xml:space="preserve">multi-fidelity </w:t>
      </w:r>
      <w:r w:rsidRPr="00624D08">
        <w:rPr>
          <w:i w:val="0"/>
          <w:iCs/>
        </w:rPr>
        <w:t>continuous</w:t>
      </w:r>
      <w:r>
        <w:rPr>
          <w:i w:val="0"/>
          <w:iCs/>
        </w:rPr>
        <w:t>-</w:t>
      </w:r>
      <w:r w:rsidRPr="00624D08">
        <w:rPr>
          <w:i w:val="0"/>
          <w:iCs/>
        </w:rPr>
        <w:t xml:space="preserve">time </w:t>
      </w:r>
      <w:r>
        <w:rPr>
          <w:i w:val="0"/>
          <w:iCs/>
        </w:rPr>
        <w:t>scheduling</w:t>
      </w:r>
      <w:r w:rsidRPr="00624D08">
        <w:rPr>
          <w:i w:val="0"/>
          <w:iCs/>
        </w:rPr>
        <w:t xml:space="preserve"> </w:t>
      </w:r>
      <w:r>
        <w:rPr>
          <w:i w:val="0"/>
          <w:iCs/>
        </w:rPr>
        <w:t>model</w:t>
      </w:r>
      <w:r w:rsidRPr="00624D08">
        <w:rPr>
          <w:i w:val="0"/>
          <w:iCs/>
        </w:rPr>
        <w:t xml:space="preserve"> schedules the optimal continuous-time power trajectories of dispatchable generation resources and </w:t>
      </w:r>
      <w:r>
        <w:rPr>
          <w:i w:val="0"/>
          <w:iCs/>
        </w:rPr>
        <w:t>ES</w:t>
      </w:r>
      <w:r w:rsidRPr="00624D08">
        <w:rPr>
          <w:i w:val="0"/>
          <w:iCs/>
        </w:rPr>
        <w:t xml:space="preserve"> </w:t>
      </w:r>
      <w:r>
        <w:rPr>
          <w:i w:val="0"/>
          <w:iCs/>
        </w:rPr>
        <w:t>systems</w:t>
      </w:r>
      <w:r w:rsidRPr="00624D08">
        <w:rPr>
          <w:i w:val="0"/>
          <w:iCs/>
        </w:rPr>
        <w:t xml:space="preserve"> to balance the continuous-time variations of load and RES, respecting the transmission network constraints. The proposed model reduces the approximation error in describing the continuous-time ramping phenomena in the day-ahead operation, capturing more accurately the essential information available about the load and RES evolution in time, while revealing the potential operational flexibility of </w:t>
      </w:r>
      <w:r>
        <w:rPr>
          <w:i w:val="0"/>
          <w:iCs/>
        </w:rPr>
        <w:t xml:space="preserve">generating </w:t>
      </w:r>
      <w:r w:rsidRPr="00624D08">
        <w:rPr>
          <w:i w:val="0"/>
          <w:iCs/>
        </w:rPr>
        <w:t xml:space="preserve">units and ES </w:t>
      </w:r>
      <w:r>
        <w:rPr>
          <w:i w:val="0"/>
          <w:iCs/>
        </w:rPr>
        <w:t>systems</w:t>
      </w:r>
      <w:r w:rsidRPr="00624D08">
        <w:rPr>
          <w:i w:val="0"/>
          <w:iCs/>
        </w:rPr>
        <w:t xml:space="preserve"> that have significant impact on the day-ahead market solution, but is not captured by current UC formulation. </w:t>
      </w:r>
      <w:r w:rsidR="006668A9">
        <w:rPr>
          <w:i w:val="0"/>
          <w:iCs/>
        </w:rPr>
        <w:t>T</w:t>
      </w:r>
      <w:r w:rsidRPr="00624D08">
        <w:rPr>
          <w:i w:val="0"/>
          <w:iCs/>
        </w:rPr>
        <w:t>his project first formulate</w:t>
      </w:r>
      <w:r w:rsidR="006668A9">
        <w:rPr>
          <w:i w:val="0"/>
          <w:iCs/>
        </w:rPr>
        <w:t>s</w:t>
      </w:r>
      <w:r w:rsidRPr="00624D08">
        <w:rPr>
          <w:i w:val="0"/>
          <w:iCs/>
        </w:rPr>
        <w:t xml:space="preserve"> the </w:t>
      </w:r>
      <w:r>
        <w:rPr>
          <w:i w:val="0"/>
          <w:iCs/>
        </w:rPr>
        <w:t>day-ahead UC</w:t>
      </w:r>
      <w:r w:rsidRPr="00624D08">
        <w:rPr>
          <w:i w:val="0"/>
          <w:iCs/>
        </w:rPr>
        <w:t xml:space="preserve"> problem as a stochastic continuous-time optimal control problem, then discretize the continuous-time UC decisions and form a decision space with countable dimensions. We then recast the stochastic continuous-time UC problem into a mixed-integer linear programming (MILP) optimization problem, where coefficients of projecting the continuous-time decisions in the finite</w:t>
      </w:r>
      <w:r>
        <w:rPr>
          <w:i w:val="0"/>
          <w:iCs/>
        </w:rPr>
        <w:t>-</w:t>
      </w:r>
      <w:r w:rsidRPr="00624D08">
        <w:rPr>
          <w:i w:val="0"/>
          <w:iCs/>
        </w:rPr>
        <w:t xml:space="preserve">dimensional function space represent the decision variables of the discrete-time optimization problem. The resulting MILP formulation of our proposed stochastic continuous-time UC is a two-stage stochastic optimization model, where the first stage decisions model the day-ahead commitment and continuous-time scheduling decisions while the second stage schedules the continuous-time </w:t>
      </w:r>
      <w:r>
        <w:rPr>
          <w:i w:val="0"/>
          <w:iCs/>
        </w:rPr>
        <w:t xml:space="preserve">flexibility </w:t>
      </w:r>
      <w:r w:rsidRPr="00624D08">
        <w:rPr>
          <w:i w:val="0"/>
          <w:iCs/>
        </w:rPr>
        <w:t xml:space="preserve">reserve capacity to compensate the </w:t>
      </w:r>
      <w:r>
        <w:rPr>
          <w:i w:val="0"/>
          <w:iCs/>
        </w:rPr>
        <w:t xml:space="preserve">variability and </w:t>
      </w:r>
      <w:r w:rsidRPr="00624D08">
        <w:rPr>
          <w:i w:val="0"/>
          <w:iCs/>
        </w:rPr>
        <w:t xml:space="preserve">uncertainty of RES and load forecast in real-time operation. The unique feature of </w:t>
      </w:r>
      <w:r w:rsidR="005E0F25">
        <w:rPr>
          <w:i w:val="0"/>
          <w:iCs/>
        </w:rPr>
        <w:t>the</w:t>
      </w:r>
      <w:r w:rsidRPr="00624D08">
        <w:rPr>
          <w:i w:val="0"/>
          <w:iCs/>
        </w:rPr>
        <w:t xml:space="preserve"> proposed approach is that the uncertainty of RES and load forecast is modeled by continuous-time power trajectory realization scenarios. Therefore, the scheduled </w:t>
      </w:r>
      <w:r w:rsidR="005E0F25">
        <w:rPr>
          <w:i w:val="0"/>
          <w:iCs/>
        </w:rPr>
        <w:t xml:space="preserve">flexibility </w:t>
      </w:r>
      <w:r w:rsidRPr="00624D08">
        <w:rPr>
          <w:i w:val="0"/>
          <w:iCs/>
        </w:rPr>
        <w:t xml:space="preserve">reserve capacity not only compensates the real-time energy imbalance, but also covers the resulting extra ramping requirements, effectively minimizing the risk of ramping scarcity events in </w:t>
      </w:r>
      <w:r w:rsidR="005E0F25">
        <w:rPr>
          <w:i w:val="0"/>
          <w:iCs/>
        </w:rPr>
        <w:t xml:space="preserve">the </w:t>
      </w:r>
      <w:r w:rsidRPr="00624D08">
        <w:rPr>
          <w:i w:val="0"/>
          <w:iCs/>
        </w:rPr>
        <w:t>power grid.</w:t>
      </w:r>
    </w:p>
    <w:p w14:paraId="34C4AB89" w14:textId="2052E02D" w:rsidR="00624D08" w:rsidRPr="00624D08" w:rsidRDefault="00312F58" w:rsidP="00CC25B9">
      <w:pPr>
        <w:rPr>
          <w:i w:val="0"/>
          <w:iCs/>
        </w:rPr>
      </w:pPr>
      <w:r>
        <w:rPr>
          <w:i w:val="0"/>
          <w:iCs/>
        </w:rPr>
        <w:t>The details of the proposed models and theorems in this project are described next.</w:t>
      </w:r>
    </w:p>
    <w:p w14:paraId="45F9E0DA" w14:textId="7B1A1EB4" w:rsidR="00FF1276" w:rsidRPr="00624D08" w:rsidRDefault="00FF1276" w:rsidP="00624D08">
      <w:pPr>
        <w:rPr>
          <w:b/>
          <w:bCs/>
          <w:i w:val="0"/>
          <w:iCs/>
        </w:rPr>
      </w:pPr>
      <w:r w:rsidRPr="00E07A41">
        <w:rPr>
          <w:b/>
          <w:bCs/>
          <w:i w:val="0"/>
          <w:iCs/>
        </w:rPr>
        <w:t xml:space="preserve">Defining the Flexibility Reserve in Power Systems: </w:t>
      </w:r>
      <w:r w:rsidRPr="00FF1276">
        <w:rPr>
          <w:i w:val="0"/>
          <w:iCs/>
        </w:rPr>
        <w:t xml:space="preserve">This </w:t>
      </w:r>
      <w:r>
        <w:rPr>
          <w:i w:val="0"/>
          <w:iCs/>
        </w:rPr>
        <w:t>project</w:t>
      </w:r>
      <w:r w:rsidRPr="00FF1276">
        <w:rPr>
          <w:i w:val="0"/>
          <w:iCs/>
        </w:rPr>
        <w:t xml:space="preserve"> </w:t>
      </w:r>
      <w:r w:rsidR="009C7003">
        <w:rPr>
          <w:i w:val="0"/>
          <w:iCs/>
        </w:rPr>
        <w:t xml:space="preserve">defined </w:t>
      </w:r>
      <w:r w:rsidR="00EE0577">
        <w:rPr>
          <w:i w:val="0"/>
          <w:iCs/>
        </w:rPr>
        <w:t xml:space="preserve">a new ancillary service in electricity markets, called </w:t>
      </w:r>
      <w:r w:rsidRPr="00EE0577">
        <w:t>up and down flexibility reserves</w:t>
      </w:r>
      <w:r w:rsidRPr="00FF1276">
        <w:rPr>
          <w:i w:val="0"/>
          <w:iCs/>
        </w:rPr>
        <w:t xml:space="preserve"> as the reserve trajectories that are provided by generating units</w:t>
      </w:r>
      <w:r>
        <w:rPr>
          <w:i w:val="0"/>
          <w:iCs/>
        </w:rPr>
        <w:t xml:space="preserve"> and ES system</w:t>
      </w:r>
      <w:r w:rsidRPr="00FF1276">
        <w:rPr>
          <w:i w:val="0"/>
          <w:iCs/>
        </w:rPr>
        <w:t xml:space="preserve"> to </w:t>
      </w:r>
      <w:r w:rsidRPr="00FF1276">
        <w:rPr>
          <w:i w:val="0"/>
          <w:iCs/>
        </w:rPr>
        <w:lastRenderedPageBreak/>
        <w:t>compensate the variability and uncertainty of net-load</w:t>
      </w:r>
      <w:r w:rsidR="00E07A41">
        <w:rPr>
          <w:i w:val="0"/>
          <w:iCs/>
        </w:rPr>
        <w:t xml:space="preserve"> (load minus renewable generation)</w:t>
      </w:r>
      <w:r w:rsidRPr="00FF1276">
        <w:rPr>
          <w:i w:val="0"/>
          <w:iCs/>
        </w:rPr>
        <w:t xml:space="preserve"> trajectory in power systems operation. The up and down flexibility reserves are characterized by the </w:t>
      </w:r>
      <w:r w:rsidR="00EE0577">
        <w:rPr>
          <w:i w:val="0"/>
          <w:iCs/>
        </w:rPr>
        <w:t>“</w:t>
      </w:r>
      <w:r w:rsidRPr="00FF1276">
        <w:rPr>
          <w:i w:val="0"/>
          <w:iCs/>
        </w:rPr>
        <w:t>day-ahead capacity</w:t>
      </w:r>
      <w:r w:rsidR="00EE0577">
        <w:rPr>
          <w:i w:val="0"/>
          <w:iCs/>
        </w:rPr>
        <w:t>”</w:t>
      </w:r>
      <w:r w:rsidRPr="00FF1276">
        <w:rPr>
          <w:i w:val="0"/>
          <w:iCs/>
        </w:rPr>
        <w:t xml:space="preserve"> and </w:t>
      </w:r>
      <w:r w:rsidR="00EE0577">
        <w:rPr>
          <w:i w:val="0"/>
          <w:iCs/>
        </w:rPr>
        <w:t>“</w:t>
      </w:r>
      <w:r w:rsidRPr="00FF1276">
        <w:rPr>
          <w:i w:val="0"/>
          <w:iCs/>
        </w:rPr>
        <w:t>real-time deployment</w:t>
      </w:r>
      <w:r w:rsidR="00EE0577">
        <w:rPr>
          <w:i w:val="0"/>
          <w:iCs/>
        </w:rPr>
        <w:t>”</w:t>
      </w:r>
      <w:r w:rsidRPr="00FF1276">
        <w:rPr>
          <w:i w:val="0"/>
          <w:iCs/>
        </w:rPr>
        <w:t xml:space="preserve"> trajectories</w:t>
      </w:r>
      <w:r w:rsidR="00E07A41">
        <w:rPr>
          <w:i w:val="0"/>
          <w:iCs/>
        </w:rPr>
        <w:t>.</w:t>
      </w:r>
      <w:r w:rsidR="00043B4D">
        <w:rPr>
          <w:i w:val="0"/>
          <w:iCs/>
        </w:rPr>
        <w:t xml:space="preserve"> The</w:t>
      </w:r>
      <w:r w:rsidR="00043B4D" w:rsidRPr="00A7074D">
        <w:rPr>
          <w:i w:val="0"/>
          <w:iCs/>
        </w:rPr>
        <w:t xml:space="preserve"> flexibility reserve trajectory combines the balancing reserve and flexible ramping products in current markets</w:t>
      </w:r>
      <w:r w:rsidR="00EE0577">
        <w:rPr>
          <w:i w:val="0"/>
          <w:iCs/>
        </w:rPr>
        <w:t xml:space="preserve"> into a single reserve product</w:t>
      </w:r>
      <w:r w:rsidR="00043B4D" w:rsidRPr="00A7074D">
        <w:rPr>
          <w:i w:val="0"/>
          <w:iCs/>
        </w:rPr>
        <w:t xml:space="preserve">, as it embeds flexible ramping trajectories as time derivative of the reserve trajectories. Thus, the flexibility reserve not only supplies the real-time energy imbalance, but also the real-time ramping requirements by a single reserve product. </w:t>
      </w:r>
      <w:r w:rsidR="00E07A41">
        <w:rPr>
          <w:i w:val="0"/>
          <w:iCs/>
        </w:rPr>
        <w:t>The Flexibility Reserve is not currently defined no</w:t>
      </w:r>
      <w:r w:rsidR="00EE0577">
        <w:rPr>
          <w:i w:val="0"/>
          <w:iCs/>
        </w:rPr>
        <w:t>r</w:t>
      </w:r>
      <w:r w:rsidR="00E07A41">
        <w:rPr>
          <w:i w:val="0"/>
          <w:iCs/>
        </w:rPr>
        <w:t xml:space="preserve"> utilized in electricity markets around the world, but this project shows that incorporating this new reserve in electricity markets would enable the reliable</w:t>
      </w:r>
      <w:r w:rsidR="00EE0577">
        <w:rPr>
          <w:i w:val="0"/>
          <w:iCs/>
        </w:rPr>
        <w:t xml:space="preserve"> and cost-efficient</w:t>
      </w:r>
      <w:r w:rsidR="00E07A41">
        <w:rPr>
          <w:i w:val="0"/>
          <w:iCs/>
        </w:rPr>
        <w:t xml:space="preserve"> large-scale integration of renewable resources in the </w:t>
      </w:r>
      <w:r w:rsidR="00EE0577">
        <w:rPr>
          <w:i w:val="0"/>
          <w:iCs/>
        </w:rPr>
        <w:t xml:space="preserve">power </w:t>
      </w:r>
      <w:r w:rsidR="00E07A41">
        <w:rPr>
          <w:i w:val="0"/>
          <w:iCs/>
        </w:rPr>
        <w:t xml:space="preserve">grid. </w:t>
      </w:r>
      <w:r w:rsidR="00873913">
        <w:rPr>
          <w:i w:val="0"/>
          <w:iCs/>
        </w:rPr>
        <w:t xml:space="preserve">More details on this technical contribution is presented in </w:t>
      </w:r>
      <w:r w:rsidR="00873913" w:rsidRPr="007C4972">
        <w:rPr>
          <w:i w:val="0"/>
          <w:iCs/>
        </w:rPr>
        <w:t>[</w:t>
      </w:r>
      <w:r w:rsidR="007C4972" w:rsidRPr="007C4972">
        <w:rPr>
          <w:i w:val="0"/>
          <w:iCs/>
        </w:rPr>
        <w:t>J</w:t>
      </w:r>
      <w:r w:rsidR="00451A8C">
        <w:rPr>
          <w:i w:val="0"/>
          <w:iCs/>
        </w:rPr>
        <w:t>4</w:t>
      </w:r>
      <w:r w:rsidR="00873913" w:rsidRPr="007C4972">
        <w:rPr>
          <w:i w:val="0"/>
          <w:iCs/>
        </w:rPr>
        <w:t>]</w:t>
      </w:r>
      <w:r w:rsidR="007C4972">
        <w:rPr>
          <w:i w:val="0"/>
          <w:iCs/>
        </w:rPr>
        <w:t xml:space="preserve">, </w:t>
      </w:r>
      <w:r w:rsidR="00873913" w:rsidRPr="007C4972">
        <w:rPr>
          <w:i w:val="0"/>
          <w:iCs/>
        </w:rPr>
        <w:t>[</w:t>
      </w:r>
      <w:r w:rsidR="007C4972" w:rsidRPr="007C4972">
        <w:rPr>
          <w:i w:val="0"/>
          <w:iCs/>
        </w:rPr>
        <w:t>J</w:t>
      </w:r>
      <w:r w:rsidR="00451A8C">
        <w:rPr>
          <w:i w:val="0"/>
          <w:iCs/>
        </w:rPr>
        <w:t>5</w:t>
      </w:r>
      <w:r w:rsidR="00873913" w:rsidRPr="007C4972">
        <w:rPr>
          <w:i w:val="0"/>
          <w:iCs/>
        </w:rPr>
        <w:t>]</w:t>
      </w:r>
      <w:r w:rsidR="00873913">
        <w:rPr>
          <w:i w:val="0"/>
          <w:iCs/>
        </w:rPr>
        <w:t>.</w:t>
      </w:r>
    </w:p>
    <w:p w14:paraId="132E47B5" w14:textId="7C88CBD5" w:rsidR="00FF1276" w:rsidRDefault="0005430E" w:rsidP="00FF1276">
      <w:pPr>
        <w:rPr>
          <w:i w:val="0"/>
          <w:iCs/>
        </w:rPr>
      </w:pPr>
      <w:r w:rsidRPr="0005430E">
        <w:rPr>
          <w:b/>
          <w:bCs/>
          <w:i w:val="0"/>
          <w:iCs/>
        </w:rPr>
        <w:t>Formulating Market Scheduling Problem as Stochastic Multi-Fidelity Optimization Problem</w:t>
      </w:r>
      <w:r>
        <w:rPr>
          <w:i w:val="0"/>
          <w:iCs/>
        </w:rPr>
        <w:t xml:space="preserve">: </w:t>
      </w:r>
      <w:r w:rsidR="00E94FC0" w:rsidRPr="00E94FC0">
        <w:rPr>
          <w:i w:val="0"/>
          <w:iCs/>
        </w:rPr>
        <w:t xml:space="preserve">This project pioneered the application of </w:t>
      </w:r>
      <w:r w:rsidR="00E94FC0">
        <w:rPr>
          <w:i w:val="0"/>
          <w:iCs/>
        </w:rPr>
        <w:t xml:space="preserve">stochastic multi-fidelity </w:t>
      </w:r>
      <w:r w:rsidR="00E94FC0" w:rsidRPr="00E94FC0">
        <w:rPr>
          <w:i w:val="0"/>
          <w:iCs/>
        </w:rPr>
        <w:t xml:space="preserve">continuous-time optimization </w:t>
      </w:r>
      <w:r w:rsidR="00E94FC0">
        <w:rPr>
          <w:i w:val="0"/>
          <w:iCs/>
        </w:rPr>
        <w:t xml:space="preserve">models </w:t>
      </w:r>
      <w:r w:rsidR="00E94FC0" w:rsidRPr="00E94FC0">
        <w:rPr>
          <w:i w:val="0"/>
          <w:iCs/>
        </w:rPr>
        <w:t xml:space="preserve">in </w:t>
      </w:r>
      <w:r w:rsidR="00E94FC0">
        <w:rPr>
          <w:i w:val="0"/>
          <w:iCs/>
        </w:rPr>
        <w:t>day-ahead and real-time</w:t>
      </w:r>
      <w:r w:rsidR="00E94FC0" w:rsidRPr="00E94FC0">
        <w:rPr>
          <w:i w:val="0"/>
          <w:iCs/>
        </w:rPr>
        <w:t xml:space="preserve"> operation scheduling of power systems. </w:t>
      </w:r>
      <w:r w:rsidR="00FF1276" w:rsidRPr="00A7074D">
        <w:rPr>
          <w:i w:val="0"/>
          <w:iCs/>
        </w:rPr>
        <w:t xml:space="preserve">The proposed model integrates decisions with different levels of fidelity in a single stochastic optimization problem: day-ahead energy trajectories, day-ahead flexibility reserve capacity trajectories, and real-time flexibility reserve deployment trajectories are modeled with Bernstein polynomials with three different degrees as required to match the variability and uncertainty of load and RES in day-ahead and real-time operations. </w:t>
      </w:r>
    </w:p>
    <w:p w14:paraId="189F6B40" w14:textId="5109B3BE" w:rsidR="00E07A41" w:rsidRDefault="00E07A41" w:rsidP="00E07A41">
      <w:pPr>
        <w:rPr>
          <w:i w:val="0"/>
          <w:iCs/>
        </w:rPr>
      </w:pPr>
      <w:r w:rsidRPr="00E07A41">
        <w:rPr>
          <w:i w:val="0"/>
          <w:iCs/>
        </w:rPr>
        <w:t xml:space="preserve">The </w:t>
      </w:r>
      <w:r w:rsidR="001508C2">
        <w:rPr>
          <w:i w:val="0"/>
          <w:iCs/>
        </w:rPr>
        <w:t xml:space="preserve">proposed multi-fidelity optimization </w:t>
      </w:r>
      <w:r w:rsidRPr="00E07A41">
        <w:rPr>
          <w:i w:val="0"/>
          <w:iCs/>
        </w:rPr>
        <w:t xml:space="preserve">models in this </w:t>
      </w:r>
      <w:r w:rsidR="001508C2">
        <w:rPr>
          <w:i w:val="0"/>
          <w:iCs/>
        </w:rPr>
        <w:t>project</w:t>
      </w:r>
      <w:r w:rsidRPr="00E07A41">
        <w:rPr>
          <w:i w:val="0"/>
          <w:iCs/>
        </w:rPr>
        <w:t xml:space="preserve"> involve using three Bernstein function spaces with different fidelity to model three sets of decision trajectories, shown in Fig. 1, with different fidelity requirements. The day-ahead generation trajectories of </w:t>
      </w:r>
      <w:r w:rsidR="001508C2">
        <w:rPr>
          <w:i w:val="0"/>
          <w:iCs/>
        </w:rPr>
        <w:t xml:space="preserve">generating </w:t>
      </w:r>
      <w:r w:rsidRPr="00E07A41">
        <w:rPr>
          <w:i w:val="0"/>
          <w:iCs/>
        </w:rPr>
        <w:t>units</w:t>
      </w:r>
      <w:r w:rsidR="001508C2">
        <w:rPr>
          <w:i w:val="0"/>
          <w:iCs/>
        </w:rPr>
        <w:t xml:space="preserve"> and ES systems</w:t>
      </w:r>
      <w:r w:rsidRPr="00E07A41">
        <w:rPr>
          <w:i w:val="0"/>
          <w:iCs/>
        </w:rPr>
        <w:t xml:space="preserve"> are modeled with the same fidelity as the day-ahead load and renewable trajectories (Fig. 1-(a)). The real-time deployment trajectories of up and down flexibility reserve and renewable spillage are modeled with the same fidelity as the real-time load and renewable realization trajectories (Fig. 1-(b)). The up and down flexibility reserve capacity trajectories, however, are meant to provide adequate fidelity to follow respectively the up and down uncertainty requirements of net-load, which undergo even faster changes. Thus, the flexibility reserve capacity trajectories of generating units are modeled on a</w:t>
      </w:r>
      <w:r>
        <w:rPr>
          <w:i w:val="0"/>
          <w:iCs/>
        </w:rPr>
        <w:t xml:space="preserve"> </w:t>
      </w:r>
      <w:r w:rsidRPr="00E07A41">
        <w:rPr>
          <w:i w:val="0"/>
          <w:iCs/>
        </w:rPr>
        <w:t>function space of higher fidelity Q</w:t>
      </w:r>
      <w:r>
        <w:rPr>
          <w:i w:val="0"/>
          <w:iCs/>
        </w:rPr>
        <w:t>”</w:t>
      </w:r>
      <w:r w:rsidRPr="00E07A41">
        <w:rPr>
          <w:i w:val="0"/>
          <w:iCs/>
        </w:rPr>
        <w:t xml:space="preserve"> = Q + β (Fig. 1-(c)).</w:t>
      </w:r>
    </w:p>
    <w:p w14:paraId="73A46936" w14:textId="5EB00F96" w:rsidR="00873913" w:rsidRPr="00624D08" w:rsidRDefault="00043B4D" w:rsidP="00873913">
      <w:pPr>
        <w:rPr>
          <w:b/>
          <w:bCs/>
          <w:i w:val="0"/>
          <w:iCs/>
        </w:rPr>
      </w:pPr>
      <w:r w:rsidRPr="00E94FC0">
        <w:rPr>
          <w:i w:val="0"/>
          <w:iCs/>
        </w:rPr>
        <w:t xml:space="preserve">This project </w:t>
      </w:r>
      <w:r>
        <w:rPr>
          <w:i w:val="0"/>
          <w:iCs/>
        </w:rPr>
        <w:t xml:space="preserve">then </w:t>
      </w:r>
      <w:r w:rsidRPr="00E94FC0">
        <w:rPr>
          <w:i w:val="0"/>
          <w:iCs/>
        </w:rPr>
        <w:t xml:space="preserve">developed a novel function space method to solve the </w:t>
      </w:r>
      <w:r>
        <w:rPr>
          <w:i w:val="0"/>
          <w:iCs/>
        </w:rPr>
        <w:t xml:space="preserve">stochastic multi-fidelity </w:t>
      </w:r>
      <w:r w:rsidRPr="00E94FC0">
        <w:rPr>
          <w:i w:val="0"/>
          <w:iCs/>
        </w:rPr>
        <w:t xml:space="preserve">continuous-time </w:t>
      </w:r>
      <w:r>
        <w:rPr>
          <w:i w:val="0"/>
          <w:iCs/>
        </w:rPr>
        <w:t xml:space="preserve">optimization </w:t>
      </w:r>
      <w:r w:rsidRPr="00E94FC0">
        <w:rPr>
          <w:i w:val="0"/>
          <w:iCs/>
        </w:rPr>
        <w:t>problems, which is based on reducing the dimensionality of the continuous-time decision and parameter trajectories by modeling them in a finite-order function space formed by Bernstein polynomials. The proposed method</w:t>
      </w:r>
      <w:r>
        <w:rPr>
          <w:i w:val="0"/>
          <w:iCs/>
        </w:rPr>
        <w:t xml:space="preserve"> eventually</w:t>
      </w:r>
      <w:r w:rsidRPr="00E94FC0">
        <w:rPr>
          <w:i w:val="0"/>
          <w:iCs/>
        </w:rPr>
        <w:t xml:space="preserve"> converts the continuous-time problem into a mixed-integer linear programming problem with the Bernstein coordinates of the trajectories as the decision variables. </w:t>
      </w:r>
      <w:r w:rsidR="00FC6F8D" w:rsidRPr="00A7074D">
        <w:rPr>
          <w:i w:val="0"/>
          <w:iCs/>
        </w:rPr>
        <w:t xml:space="preserve">The proposed model includes as a special case the current discrete-time stochastic UC model by choosing Bernstein polynomials of degree 0 for modeling all decision variables. </w:t>
      </w:r>
      <w:r w:rsidR="00873913">
        <w:rPr>
          <w:i w:val="0"/>
          <w:iCs/>
        </w:rPr>
        <w:t>More detail on this technical contribution is presented in</w:t>
      </w:r>
      <w:r w:rsidR="007C4972">
        <w:rPr>
          <w:i w:val="0"/>
          <w:iCs/>
        </w:rPr>
        <w:t xml:space="preserve"> </w:t>
      </w:r>
      <w:r w:rsidR="007C4972" w:rsidRPr="007C4972">
        <w:rPr>
          <w:i w:val="0"/>
          <w:iCs/>
        </w:rPr>
        <w:t>[J</w:t>
      </w:r>
      <w:r w:rsidR="00451A8C">
        <w:rPr>
          <w:i w:val="0"/>
          <w:iCs/>
        </w:rPr>
        <w:t>4</w:t>
      </w:r>
      <w:r w:rsidR="007C4972" w:rsidRPr="007C4972">
        <w:rPr>
          <w:i w:val="0"/>
          <w:iCs/>
        </w:rPr>
        <w:t>]</w:t>
      </w:r>
      <w:r w:rsidR="007C4972">
        <w:rPr>
          <w:i w:val="0"/>
          <w:iCs/>
        </w:rPr>
        <w:t xml:space="preserve">, </w:t>
      </w:r>
      <w:r w:rsidR="007C4972" w:rsidRPr="007C4972">
        <w:rPr>
          <w:i w:val="0"/>
          <w:iCs/>
        </w:rPr>
        <w:t>[J</w:t>
      </w:r>
      <w:r w:rsidR="00451A8C">
        <w:rPr>
          <w:i w:val="0"/>
          <w:iCs/>
        </w:rPr>
        <w:t>5</w:t>
      </w:r>
      <w:r w:rsidR="007C4972" w:rsidRPr="007C4972">
        <w:rPr>
          <w:i w:val="0"/>
          <w:iCs/>
        </w:rPr>
        <w:t>]</w:t>
      </w:r>
      <w:r w:rsidR="00873913">
        <w:rPr>
          <w:i w:val="0"/>
          <w:iCs/>
        </w:rPr>
        <w:t>.</w:t>
      </w:r>
    </w:p>
    <w:p w14:paraId="079AB72D" w14:textId="056537CE" w:rsidR="00FC6F8D" w:rsidRPr="00E07A41" w:rsidRDefault="00FC6F8D" w:rsidP="00043B4D">
      <w:pPr>
        <w:rPr>
          <w:i w:val="0"/>
          <w:iCs/>
        </w:rPr>
      </w:pPr>
    </w:p>
    <w:p w14:paraId="7CEEFD1F" w14:textId="4EE97A9D" w:rsidR="0005430E" w:rsidRDefault="0005430E" w:rsidP="0005430E">
      <w:pPr>
        <w:rPr>
          <w:i w:val="0"/>
          <w:iCs/>
        </w:rPr>
      </w:pPr>
    </w:p>
    <w:p w14:paraId="6E11C5C1" w14:textId="13279D5F" w:rsidR="00FF1276" w:rsidRDefault="00FF1276" w:rsidP="0005430E">
      <w:pPr>
        <w:rPr>
          <w:i w:val="0"/>
          <w:iCs/>
        </w:rPr>
      </w:pPr>
      <w:r w:rsidRPr="00FF1276">
        <w:rPr>
          <w:i w:val="0"/>
          <w:iCs/>
          <w:noProof/>
        </w:rPr>
        <w:lastRenderedPageBreak/>
        <w:drawing>
          <wp:inline distT="0" distB="0" distL="0" distR="0" wp14:anchorId="71CCF131" wp14:editId="35B3CD9F">
            <wp:extent cx="5746377" cy="17239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2138" cy="1731641"/>
                    </a:xfrm>
                    <a:prstGeom prst="rect">
                      <a:avLst/>
                    </a:prstGeom>
                  </pic:spPr>
                </pic:pic>
              </a:graphicData>
            </a:graphic>
          </wp:inline>
        </w:drawing>
      </w:r>
    </w:p>
    <w:p w14:paraId="35399B59" w14:textId="05E68784" w:rsidR="00FF1276" w:rsidRPr="00FF1276" w:rsidRDefault="00FF1276" w:rsidP="0005430E">
      <w:pPr>
        <w:rPr>
          <w:i w:val="0"/>
          <w:iCs/>
          <w:sz w:val="20"/>
          <w:szCs w:val="20"/>
        </w:rPr>
      </w:pPr>
      <w:r w:rsidRPr="00FF1276">
        <w:rPr>
          <w:i w:val="0"/>
          <w:iCs/>
          <w:sz w:val="20"/>
          <w:szCs w:val="20"/>
        </w:rPr>
        <w:t xml:space="preserve">Fig. 1: </w:t>
      </w:r>
      <w:r>
        <w:rPr>
          <w:i w:val="0"/>
          <w:iCs/>
          <w:sz w:val="20"/>
          <w:szCs w:val="20"/>
        </w:rPr>
        <w:t>Modeling f</w:t>
      </w:r>
      <w:r w:rsidRPr="00FF1276">
        <w:rPr>
          <w:i w:val="0"/>
          <w:iCs/>
          <w:sz w:val="20"/>
          <w:szCs w:val="20"/>
        </w:rPr>
        <w:t>idelity of</w:t>
      </w:r>
      <w:r>
        <w:rPr>
          <w:i w:val="0"/>
          <w:iCs/>
          <w:sz w:val="20"/>
          <w:szCs w:val="20"/>
        </w:rPr>
        <w:t xml:space="preserve"> decision</w:t>
      </w:r>
      <w:r w:rsidRPr="00FF1276">
        <w:rPr>
          <w:i w:val="0"/>
          <w:iCs/>
          <w:sz w:val="20"/>
          <w:szCs w:val="20"/>
        </w:rPr>
        <w:t xml:space="preserve"> trajectories</w:t>
      </w:r>
      <w:r>
        <w:rPr>
          <w:i w:val="0"/>
          <w:iCs/>
          <w:sz w:val="20"/>
          <w:szCs w:val="20"/>
        </w:rPr>
        <w:t xml:space="preserve"> in electricity markets:</w:t>
      </w:r>
      <w:r w:rsidRPr="00FF1276">
        <w:rPr>
          <w:i w:val="0"/>
          <w:iCs/>
          <w:sz w:val="20"/>
          <w:szCs w:val="20"/>
        </w:rPr>
        <w:t xml:space="preserve"> (a) Day-ahead generation trajectory, (b) Realtime generation trajectories associated with net-load realizations, (c) up and down flexibility reserve capacity trajectories.</w:t>
      </w:r>
      <w:r w:rsidR="00873913">
        <w:rPr>
          <w:i w:val="0"/>
          <w:iCs/>
          <w:sz w:val="20"/>
          <w:szCs w:val="20"/>
        </w:rPr>
        <w:t xml:space="preserve"> Adopted from </w:t>
      </w:r>
      <w:r w:rsidR="007C4972">
        <w:rPr>
          <w:i w:val="0"/>
          <w:iCs/>
          <w:sz w:val="20"/>
          <w:szCs w:val="20"/>
        </w:rPr>
        <w:t>[J1]</w:t>
      </w:r>
    </w:p>
    <w:p w14:paraId="7D24BA03" w14:textId="77777777" w:rsidR="00FF1276" w:rsidRDefault="00FF1276" w:rsidP="0005430E">
      <w:pPr>
        <w:rPr>
          <w:i w:val="0"/>
          <w:iCs/>
        </w:rPr>
      </w:pPr>
    </w:p>
    <w:p w14:paraId="37A7DB36" w14:textId="3D61CF43" w:rsidR="0033370B" w:rsidRDefault="007A04F0" w:rsidP="00FC6F8D">
      <w:pPr>
        <w:rPr>
          <w:i w:val="0"/>
          <w:iCs/>
        </w:rPr>
      </w:pPr>
      <w:r w:rsidRPr="007A04F0">
        <w:rPr>
          <w:b/>
          <w:bCs/>
          <w:i w:val="0"/>
          <w:iCs/>
        </w:rPr>
        <w:t>Stochastic Continuous-time Uncertainty Characterization of Load and Renewable Generation</w:t>
      </w:r>
      <w:r>
        <w:rPr>
          <w:i w:val="0"/>
          <w:iCs/>
        </w:rPr>
        <w:t xml:space="preserve">: </w:t>
      </w:r>
      <w:r w:rsidR="00015C22">
        <w:rPr>
          <w:i w:val="0"/>
          <w:iCs/>
        </w:rPr>
        <w:t xml:space="preserve">This project developed a model for </w:t>
      </w:r>
      <w:r w:rsidR="00015C22" w:rsidRPr="00A7074D">
        <w:rPr>
          <w:i w:val="0"/>
          <w:iCs/>
        </w:rPr>
        <w:t>characteriz</w:t>
      </w:r>
      <w:r w:rsidR="00015C22">
        <w:rPr>
          <w:i w:val="0"/>
          <w:iCs/>
        </w:rPr>
        <w:t>ing</w:t>
      </w:r>
      <w:r w:rsidR="0005430E" w:rsidRPr="00A7074D">
        <w:rPr>
          <w:i w:val="0"/>
          <w:iCs/>
        </w:rPr>
        <w:t xml:space="preserve"> </w:t>
      </w:r>
      <w:r w:rsidR="00015C22">
        <w:rPr>
          <w:i w:val="0"/>
          <w:iCs/>
        </w:rPr>
        <w:t>t</w:t>
      </w:r>
      <w:r w:rsidR="0005430E" w:rsidRPr="00A7074D">
        <w:rPr>
          <w:i w:val="0"/>
          <w:iCs/>
        </w:rPr>
        <w:t xml:space="preserve">he variability and uncertainty of load and RES by continuous-time stochastic processes. A second-order moment matching method is proposed to reduce the dimensionality of continuous probability spaces and Bernstein polynomials of different degrees are used to model the day-ahead mean and real-time realizations with different fidelity. </w:t>
      </w:r>
      <w:r w:rsidR="00873913">
        <w:rPr>
          <w:i w:val="0"/>
          <w:iCs/>
        </w:rPr>
        <w:t xml:space="preserve">More detail on this technical contribution </w:t>
      </w:r>
      <w:r w:rsidR="00A64D10">
        <w:rPr>
          <w:i w:val="0"/>
          <w:iCs/>
        </w:rPr>
        <w:t>is</w:t>
      </w:r>
      <w:r w:rsidR="00873913">
        <w:rPr>
          <w:i w:val="0"/>
          <w:iCs/>
        </w:rPr>
        <w:t xml:space="preserve"> presented in</w:t>
      </w:r>
      <w:r w:rsidR="00A64D10">
        <w:rPr>
          <w:i w:val="0"/>
          <w:iCs/>
        </w:rPr>
        <w:t xml:space="preserve"> papers</w:t>
      </w:r>
      <w:r w:rsidR="00873913">
        <w:rPr>
          <w:i w:val="0"/>
          <w:iCs/>
        </w:rPr>
        <w:t xml:space="preserve"> </w:t>
      </w:r>
      <w:r w:rsidR="007C4972">
        <w:rPr>
          <w:i w:val="0"/>
          <w:iCs/>
        </w:rPr>
        <w:t>[J</w:t>
      </w:r>
      <w:r w:rsidR="00451A8C">
        <w:rPr>
          <w:i w:val="0"/>
          <w:iCs/>
        </w:rPr>
        <w:t>4</w:t>
      </w:r>
      <w:r w:rsidR="007C4972">
        <w:rPr>
          <w:i w:val="0"/>
          <w:iCs/>
        </w:rPr>
        <w:t>], [C1].</w:t>
      </w:r>
    </w:p>
    <w:p w14:paraId="035516B8" w14:textId="66C940F9" w:rsidR="00E94FC0" w:rsidRPr="00E94FC0" w:rsidRDefault="0005430E" w:rsidP="00E94FC0">
      <w:pPr>
        <w:rPr>
          <w:i w:val="0"/>
          <w:iCs/>
        </w:rPr>
      </w:pPr>
      <w:r w:rsidRPr="00FF1276">
        <w:rPr>
          <w:b/>
          <w:bCs/>
          <w:i w:val="0"/>
          <w:iCs/>
        </w:rPr>
        <w:t>Continuous-time Pricing of Flexibility in Power Systems</w:t>
      </w:r>
      <w:r>
        <w:rPr>
          <w:i w:val="0"/>
          <w:iCs/>
        </w:rPr>
        <w:t xml:space="preserve">: </w:t>
      </w:r>
      <w:r w:rsidR="00873913">
        <w:rPr>
          <w:i w:val="0"/>
          <w:iCs/>
        </w:rPr>
        <w:t>T</w:t>
      </w:r>
      <w:r w:rsidR="00E94FC0" w:rsidRPr="00E94FC0">
        <w:rPr>
          <w:i w:val="0"/>
          <w:iCs/>
        </w:rPr>
        <w:t xml:space="preserve">his project developed the fundamental theory of continuous-time </w:t>
      </w:r>
      <w:r w:rsidR="0033370B">
        <w:rPr>
          <w:i w:val="0"/>
          <w:iCs/>
        </w:rPr>
        <w:t xml:space="preserve">locational </w:t>
      </w:r>
      <w:r w:rsidR="00E94FC0" w:rsidRPr="00E94FC0">
        <w:rPr>
          <w:i w:val="0"/>
          <w:iCs/>
        </w:rPr>
        <w:t>marginal pricing in power systems</w:t>
      </w:r>
      <w:r w:rsidR="0033370B">
        <w:rPr>
          <w:i w:val="0"/>
          <w:iCs/>
        </w:rPr>
        <w:t xml:space="preserve"> with ES systems</w:t>
      </w:r>
      <w:r w:rsidR="00FC6F8D">
        <w:rPr>
          <w:i w:val="0"/>
          <w:iCs/>
        </w:rPr>
        <w:t xml:space="preserve"> and flexible loads</w:t>
      </w:r>
      <w:r w:rsidR="00E94FC0" w:rsidRPr="00E94FC0">
        <w:rPr>
          <w:i w:val="0"/>
          <w:iCs/>
        </w:rPr>
        <w:t xml:space="preserve">. Using the optimality conditions of the </w:t>
      </w:r>
      <w:r w:rsidR="00FC6F8D">
        <w:rPr>
          <w:i w:val="0"/>
          <w:iCs/>
        </w:rPr>
        <w:t xml:space="preserve">proposed continuous-time optimization </w:t>
      </w:r>
      <w:r w:rsidR="00E94FC0" w:rsidRPr="00E94FC0">
        <w:rPr>
          <w:i w:val="0"/>
          <w:iCs/>
        </w:rPr>
        <w:t xml:space="preserve">problems, it </w:t>
      </w:r>
      <w:r w:rsidR="0033370B">
        <w:rPr>
          <w:i w:val="0"/>
          <w:iCs/>
        </w:rPr>
        <w:t>was</w:t>
      </w:r>
      <w:r w:rsidR="00E94FC0" w:rsidRPr="00E94FC0">
        <w:rPr>
          <w:i w:val="0"/>
          <w:iCs/>
        </w:rPr>
        <w:t xml:space="preserve"> proven</w:t>
      </w:r>
      <w:r w:rsidR="0033370B">
        <w:rPr>
          <w:i w:val="0"/>
          <w:iCs/>
        </w:rPr>
        <w:t xml:space="preserve"> in this project</w:t>
      </w:r>
      <w:r w:rsidR="00E94FC0" w:rsidRPr="00E94FC0">
        <w:rPr>
          <w:i w:val="0"/>
          <w:iCs/>
        </w:rPr>
        <w:t xml:space="preserve"> that the Lagrange multiplier trajectory associated with the continuous-time power balance constraint is the </w:t>
      </w:r>
      <w:r w:rsidR="0033370B">
        <w:rPr>
          <w:i w:val="0"/>
          <w:iCs/>
        </w:rPr>
        <w:t xml:space="preserve">locational </w:t>
      </w:r>
      <w:r w:rsidR="00E94FC0" w:rsidRPr="00E94FC0">
        <w:rPr>
          <w:i w:val="0"/>
          <w:iCs/>
        </w:rPr>
        <w:t xml:space="preserve">marginal price of energy in the presence of flexible resources (generating units, ES devices and flexible loads). The continuous-time </w:t>
      </w:r>
      <w:r w:rsidR="00FC6F8D">
        <w:rPr>
          <w:i w:val="0"/>
          <w:iCs/>
        </w:rPr>
        <w:t xml:space="preserve">locational </w:t>
      </w:r>
      <w:r w:rsidR="00E94FC0" w:rsidRPr="00E94FC0">
        <w:rPr>
          <w:i w:val="0"/>
          <w:iCs/>
        </w:rPr>
        <w:t xml:space="preserve">marginal price is calculated in closed-form, which reveals that in addition to the incremental cost rates of generating units, the marginal price embeds the financial bids of ES devices and flexible loads in the markets. The closed-form </w:t>
      </w:r>
      <w:r w:rsidR="00FC6F8D">
        <w:rPr>
          <w:i w:val="0"/>
          <w:iCs/>
        </w:rPr>
        <w:t xml:space="preserve">locational </w:t>
      </w:r>
      <w:r w:rsidR="00E94FC0" w:rsidRPr="00E94FC0">
        <w:rPr>
          <w:i w:val="0"/>
          <w:iCs/>
        </w:rPr>
        <w:t>marginal price formulas show that when generating units, ES devices, or flexible loads reach their ramping limits, time derivatives of the Lagrange multiplier associated with the binding ramping constraints appears in the price formula, causing a price spike that reflects the shortage of ramping in the system. Th</w:t>
      </w:r>
      <w:r w:rsidR="0033370B">
        <w:rPr>
          <w:i w:val="0"/>
          <w:iCs/>
        </w:rPr>
        <w:t>is</w:t>
      </w:r>
      <w:r w:rsidR="00E94FC0" w:rsidRPr="00E94FC0">
        <w:rPr>
          <w:i w:val="0"/>
          <w:iCs/>
        </w:rPr>
        <w:t xml:space="preserve"> project show</w:t>
      </w:r>
      <w:r w:rsidR="0033370B">
        <w:rPr>
          <w:i w:val="0"/>
          <w:iCs/>
        </w:rPr>
        <w:t>ed</w:t>
      </w:r>
      <w:r w:rsidR="00E94FC0" w:rsidRPr="00E94FC0">
        <w:rPr>
          <w:i w:val="0"/>
          <w:iCs/>
        </w:rPr>
        <w:t xml:space="preserve"> that the ES operation in power systems establishes a temporal dependence between the marginal prices during the ES charge and discharge states. </w:t>
      </w:r>
      <w:r w:rsidR="00873913">
        <w:rPr>
          <w:i w:val="0"/>
          <w:iCs/>
        </w:rPr>
        <w:t xml:space="preserve">More detail on this technical contribution </w:t>
      </w:r>
      <w:r w:rsidR="00A64D10">
        <w:rPr>
          <w:i w:val="0"/>
          <w:iCs/>
        </w:rPr>
        <w:t>is</w:t>
      </w:r>
      <w:r w:rsidR="00873913">
        <w:rPr>
          <w:i w:val="0"/>
          <w:iCs/>
        </w:rPr>
        <w:t xml:space="preserve"> presented in</w:t>
      </w:r>
      <w:r w:rsidR="007C4972">
        <w:rPr>
          <w:i w:val="0"/>
          <w:iCs/>
        </w:rPr>
        <w:t xml:space="preserve"> </w:t>
      </w:r>
      <w:r w:rsidR="00A64D10" w:rsidRPr="00A64D10">
        <w:rPr>
          <w:i w:val="0"/>
          <w:iCs/>
        </w:rPr>
        <w:t>papers</w:t>
      </w:r>
      <w:r w:rsidR="00A64D10">
        <w:t xml:space="preserve"> </w:t>
      </w:r>
      <w:r w:rsidR="007C4972">
        <w:rPr>
          <w:i w:val="0"/>
          <w:iCs/>
        </w:rPr>
        <w:t>[J</w:t>
      </w:r>
      <w:r w:rsidR="00451A8C">
        <w:rPr>
          <w:i w:val="0"/>
          <w:iCs/>
        </w:rPr>
        <w:t>1</w:t>
      </w:r>
      <w:r w:rsidR="007C4972">
        <w:rPr>
          <w:i w:val="0"/>
          <w:iCs/>
        </w:rPr>
        <w:t>], [J</w:t>
      </w:r>
      <w:r w:rsidR="00451A8C">
        <w:rPr>
          <w:i w:val="0"/>
          <w:iCs/>
        </w:rPr>
        <w:t>2</w:t>
      </w:r>
      <w:r w:rsidR="007C4972">
        <w:rPr>
          <w:i w:val="0"/>
          <w:iCs/>
        </w:rPr>
        <w:t>] and [C2].</w:t>
      </w:r>
    </w:p>
    <w:p w14:paraId="746F3771" w14:textId="70B13066" w:rsidR="002E6333" w:rsidRDefault="006668A9" w:rsidP="00CC25B9">
      <w:pPr>
        <w:rPr>
          <w:i w:val="0"/>
          <w:iCs/>
        </w:rPr>
      </w:pPr>
      <w:r w:rsidRPr="006668A9">
        <w:rPr>
          <w:b/>
          <w:bCs/>
          <w:i w:val="0"/>
          <w:iCs/>
        </w:rPr>
        <w:t>Continuous-Time Look-Ahead Optimization of Energy Storage in Real-Time Balancing and Regulation Markets</w:t>
      </w:r>
      <w:r>
        <w:rPr>
          <w:i w:val="0"/>
          <w:iCs/>
        </w:rPr>
        <w:t xml:space="preserve">: </w:t>
      </w:r>
      <w:r w:rsidRPr="006668A9">
        <w:rPr>
          <w:i w:val="0"/>
          <w:iCs/>
        </w:rPr>
        <w:t xml:space="preserve">this </w:t>
      </w:r>
      <w:r>
        <w:rPr>
          <w:i w:val="0"/>
          <w:iCs/>
        </w:rPr>
        <w:t>project</w:t>
      </w:r>
      <w:r w:rsidRPr="006668A9">
        <w:rPr>
          <w:i w:val="0"/>
          <w:iCs/>
        </w:rPr>
        <w:t xml:space="preserve"> </w:t>
      </w:r>
      <w:r>
        <w:rPr>
          <w:i w:val="0"/>
          <w:iCs/>
        </w:rPr>
        <w:t>developed</w:t>
      </w:r>
      <w:r w:rsidRPr="006668A9">
        <w:rPr>
          <w:i w:val="0"/>
          <w:iCs/>
        </w:rPr>
        <w:t xml:space="preserve"> a novel continuous-time look-ahead optimization model for scheduling balancing and frequency regulation services provided by ES devices and generating units in real-time markets. The proposed model implements rolling horizon optimal control approach, where the schedule of ES devices and generating units are co-optimized to adequately provide the services and minimize the real-time operating cost of system over each look-ahead </w:t>
      </w:r>
      <w:r w:rsidRPr="006668A9">
        <w:rPr>
          <w:i w:val="0"/>
          <w:iCs/>
        </w:rPr>
        <w:lastRenderedPageBreak/>
        <w:t xml:space="preserve">rolling control horizon. The real-time load trajectory in each rolling horizon is drawn from a proposed continuous-time Gaussian process load model that captures the underlying variability and uncertainty of load in short-term horizon. The proposed look-ahead scheduling model enables making the informed real-time decision for charging and discharging ES </w:t>
      </w:r>
      <w:r>
        <w:rPr>
          <w:i w:val="0"/>
          <w:iCs/>
        </w:rPr>
        <w:t>systems</w:t>
      </w:r>
      <w:r w:rsidRPr="006668A9">
        <w:rPr>
          <w:i w:val="0"/>
          <w:iCs/>
        </w:rPr>
        <w:t xml:space="preserve"> considering the need for the limited ES energy to provide services in future times. The proposed model integrates a continuous-time model for operation of ES devices, which more effectively captures the fast-ramping capability of ES devices to eliminate real-time ramping scarcity events. In addition, the proposed continuous</w:t>
      </w:r>
      <w:r>
        <w:rPr>
          <w:i w:val="0"/>
          <w:iCs/>
        </w:rPr>
        <w:t>-</w:t>
      </w:r>
      <w:r w:rsidRPr="006668A9">
        <w:rPr>
          <w:i w:val="0"/>
          <w:iCs/>
        </w:rPr>
        <w:t>time model enables accurate modeling of the relationship between energy, power, and ramping trajectory of the ES devices, thus ensuring the availability of ES energy, power, and ramping capacity to provide the services in the system. Furthermore, the availability of ES energy to provide regulation services is ensured by explicit modeling of the upper and lower ES energy trajectories that respectively represent the full deployment of regulation down and up services provided by the ES devices. A</w:t>
      </w:r>
      <w:r>
        <w:rPr>
          <w:i w:val="0"/>
          <w:iCs/>
        </w:rPr>
        <w:t xml:space="preserve"> </w:t>
      </w:r>
      <w:r w:rsidRPr="006668A9">
        <w:rPr>
          <w:i w:val="0"/>
          <w:iCs/>
        </w:rPr>
        <w:t>solution methodology is also proposed to deal with the computational intractability of the infinite-dimensional continuous</w:t>
      </w:r>
      <w:r>
        <w:rPr>
          <w:i w:val="0"/>
          <w:iCs/>
        </w:rPr>
        <w:t>-</w:t>
      </w:r>
      <w:r w:rsidRPr="006668A9">
        <w:rPr>
          <w:i w:val="0"/>
          <w:iCs/>
        </w:rPr>
        <w:t>time model. More specifically, the dimensionality of the proposed continuous-time optimal control problem is reduced by modeling it in a finite-order function space spanned by Bernstein polynomials. Using the proposed solution method, the optimal control problem over each control horizon is converted into a MILP problem, using which the optimal trajectories are calculated as corresponding decision variables.</w:t>
      </w:r>
      <w:r w:rsidR="00821C7D">
        <w:rPr>
          <w:i w:val="0"/>
          <w:iCs/>
        </w:rPr>
        <w:t xml:space="preserve"> More detail on this technical contribution is presented in </w:t>
      </w:r>
      <w:r w:rsidR="00821C7D" w:rsidRPr="00A64D10">
        <w:rPr>
          <w:i w:val="0"/>
          <w:iCs/>
        </w:rPr>
        <w:t>papers</w:t>
      </w:r>
      <w:r w:rsidR="00821C7D">
        <w:t xml:space="preserve"> </w:t>
      </w:r>
      <w:r w:rsidR="00821C7D">
        <w:rPr>
          <w:i w:val="0"/>
          <w:iCs/>
        </w:rPr>
        <w:t>[J8] and [C4].</w:t>
      </w:r>
    </w:p>
    <w:p w14:paraId="589AAA1F" w14:textId="77777777" w:rsidR="00FC6DCA" w:rsidRPr="006668A9" w:rsidRDefault="00FC6DCA" w:rsidP="00CC25B9">
      <w:pPr>
        <w:rPr>
          <w:i w:val="0"/>
          <w:iCs/>
        </w:rPr>
      </w:pPr>
    </w:p>
    <w:p w14:paraId="4813E84C" w14:textId="0CD81F9B" w:rsidR="005934EE" w:rsidRDefault="00660D2D" w:rsidP="001D4C54">
      <w:pPr>
        <w:pStyle w:val="Heading1"/>
      </w:pPr>
      <w:bookmarkStart w:id="12" w:name="_Toc513462905"/>
      <w:bookmarkStart w:id="13" w:name="_Toc513463337"/>
      <w:r w:rsidRPr="00CC25B9">
        <w:t>Acc</w:t>
      </w:r>
      <w:r w:rsidR="00C96FF6" w:rsidRPr="00CC25B9">
        <w:t>omplishments</w:t>
      </w:r>
      <w:r w:rsidR="005934EE" w:rsidRPr="00CC25B9">
        <w:t xml:space="preserve"> and Conclusions</w:t>
      </w:r>
      <w:bookmarkEnd w:id="12"/>
      <w:bookmarkEnd w:id="13"/>
    </w:p>
    <w:p w14:paraId="7A3FA67A" w14:textId="6A0D93D0" w:rsidR="00873913" w:rsidRDefault="00A41ECB" w:rsidP="00A41ECB">
      <w:pPr>
        <w:rPr>
          <w:i w:val="0"/>
          <w:iCs/>
        </w:rPr>
      </w:pPr>
      <w:r>
        <w:rPr>
          <w:i w:val="0"/>
          <w:iCs/>
        </w:rPr>
        <w:t>The following tasks were accomplished as specified in the final project SOPO:</w:t>
      </w:r>
    </w:p>
    <w:p w14:paraId="53F22A4E" w14:textId="770FF46F" w:rsidR="00A41ECB" w:rsidRPr="001D4C54" w:rsidRDefault="00A41ECB" w:rsidP="00711E38">
      <w:pPr>
        <w:pStyle w:val="ListParagraph"/>
        <w:numPr>
          <w:ilvl w:val="0"/>
          <w:numId w:val="4"/>
        </w:numPr>
      </w:pPr>
      <w:r w:rsidRPr="00A41ECB">
        <w:rPr>
          <w:b/>
          <w:bCs/>
        </w:rPr>
        <w:t>Develop</w:t>
      </w:r>
      <w:r>
        <w:rPr>
          <w:b/>
          <w:bCs/>
        </w:rPr>
        <w:t>ed</w:t>
      </w:r>
      <w:r w:rsidRPr="00A41ECB">
        <w:rPr>
          <w:b/>
          <w:bCs/>
        </w:rPr>
        <w:t xml:space="preserve"> Models for Continuous-time Scheduling and Pricing of Energy Generation and Storage in Power Systems</w:t>
      </w:r>
      <w:r w:rsidRPr="00A41ECB">
        <w:t xml:space="preserve">: This task developed a fundamental model for continuous-time scheduling and marginal pricing of energy generation and storage in day-ahead power systems operation. This task first formulated the economic operation problem of power systems with generating units and ES devices as a continuous-time optimal control problem, where the Lagrange multiplier trajectory associated with the continuous-time power balance constraint is proven to be the marginal price of energy generation and storage. The marginal price is calculated in closed-form, which reveals that in addition to the incremental cost rates of generating units, the marginal price embeds the financial ES charging offers and discharging bids that are defined as incremental charging utility and incremental discharging cost rates. This paper shows that the adjoint function associated with the ES state equation establishes a temporal dependence between the marginal prices during the ES charge and discharge states. A function space method is developed to solve the proposed model, which converts the continuous-time problem into a </w:t>
      </w:r>
      <w:r w:rsidR="00A165F3">
        <w:t>MILP</w:t>
      </w:r>
      <w:r w:rsidRPr="00A41ECB">
        <w:t xml:space="preserve"> problem with finite dimensional decision space. </w:t>
      </w:r>
      <w:r w:rsidR="00336560">
        <w:t>The completion of this task is resulted in</w:t>
      </w:r>
      <w:r w:rsidR="00A64D10">
        <w:t xml:space="preserve"> papers</w:t>
      </w:r>
      <w:r w:rsidR="00336560">
        <w:t xml:space="preserve"> </w:t>
      </w:r>
      <w:r w:rsidR="007C4972">
        <w:t>[J</w:t>
      </w:r>
      <w:r w:rsidR="00451A8C">
        <w:t>1</w:t>
      </w:r>
      <w:r w:rsidR="007C4972">
        <w:t>]</w:t>
      </w:r>
      <w:r w:rsidR="00A64D10">
        <w:t xml:space="preserve"> and [C6]</w:t>
      </w:r>
      <w:r w:rsidR="007C4972">
        <w:t>.</w:t>
      </w:r>
      <w:r w:rsidR="00336560">
        <w:t xml:space="preserve"> </w:t>
      </w:r>
    </w:p>
    <w:p w14:paraId="22B46106" w14:textId="68BC6894" w:rsidR="00336560" w:rsidRPr="00A41ECB" w:rsidRDefault="00A41ECB" w:rsidP="00711E38">
      <w:pPr>
        <w:pStyle w:val="ListParagraph"/>
        <w:numPr>
          <w:ilvl w:val="0"/>
          <w:numId w:val="4"/>
        </w:numPr>
      </w:pPr>
      <w:r w:rsidRPr="00DD3C3F">
        <w:rPr>
          <w:b/>
          <w:bCs/>
        </w:rPr>
        <w:t>Developed</w:t>
      </w:r>
      <w:r w:rsidR="00DD3C3F" w:rsidRPr="00DD3C3F">
        <w:rPr>
          <w:b/>
          <w:bCs/>
        </w:rPr>
        <w:t xml:space="preserve"> the</w:t>
      </w:r>
      <w:r w:rsidR="00336560">
        <w:rPr>
          <w:b/>
          <w:bCs/>
        </w:rPr>
        <w:t xml:space="preserve"> Theorem and Formulas of the</w:t>
      </w:r>
      <w:r w:rsidR="00DD3C3F" w:rsidRPr="00DD3C3F">
        <w:rPr>
          <w:b/>
          <w:bCs/>
        </w:rPr>
        <w:t xml:space="preserve"> Locational </w:t>
      </w:r>
      <w:r w:rsidR="00DD3C3F" w:rsidRPr="00C81E22">
        <w:rPr>
          <w:b/>
          <w:bCs/>
        </w:rPr>
        <w:t>Marginal Price of Electricity</w:t>
      </w:r>
      <w:r w:rsidR="00DD3C3F">
        <w:rPr>
          <w:b/>
          <w:bCs/>
        </w:rPr>
        <w:t xml:space="preserve"> Generation and Storage:</w:t>
      </w:r>
      <w:r>
        <w:t xml:space="preserve"> </w:t>
      </w:r>
      <w:r w:rsidR="00336560" w:rsidRPr="00C81E22">
        <w:t xml:space="preserve">This </w:t>
      </w:r>
      <w:r w:rsidR="00336560">
        <w:t>task</w:t>
      </w:r>
      <w:r w:rsidR="00336560" w:rsidRPr="00C81E22">
        <w:t xml:space="preserve"> propose</w:t>
      </w:r>
      <w:r w:rsidR="00336560">
        <w:t>d</w:t>
      </w:r>
      <w:r w:rsidR="00336560" w:rsidRPr="00C81E22">
        <w:t xml:space="preserve"> the fundamental theory and closed-form formulas for continuous-time locational marginal price (LMP) of electricity</w:t>
      </w:r>
      <w:r w:rsidR="00336560">
        <w:t xml:space="preserve"> generation and storage</w:t>
      </w:r>
      <w:r w:rsidR="00336560" w:rsidRPr="00C81E22">
        <w:t xml:space="preserve">, which </w:t>
      </w:r>
      <w:r w:rsidR="00336560">
        <w:t>accurately integrates the</w:t>
      </w:r>
      <w:r w:rsidR="00336560" w:rsidRPr="00C81E22">
        <w:t xml:space="preserve"> spatio-temporal variations of load and operational constraints of power systems in the electricity price calculation</w:t>
      </w:r>
      <w:r w:rsidR="00336560">
        <w:t xml:space="preserve"> in the presence of ES systems</w:t>
      </w:r>
      <w:r w:rsidR="00336560" w:rsidRPr="00C81E22">
        <w:t xml:space="preserve">. </w:t>
      </w:r>
      <w:r w:rsidRPr="00A41ECB">
        <w:t xml:space="preserve">More specifically, this </w:t>
      </w:r>
      <w:r w:rsidR="00336560">
        <w:t>task</w:t>
      </w:r>
      <w:r w:rsidRPr="00A41ECB">
        <w:t xml:space="preserve"> formulate</w:t>
      </w:r>
      <w:r w:rsidR="00336560">
        <w:t>d</w:t>
      </w:r>
      <w:r w:rsidRPr="00A41ECB">
        <w:t xml:space="preserve"> the dynamic operation of ES </w:t>
      </w:r>
      <w:r w:rsidR="00336560">
        <w:t>systems</w:t>
      </w:r>
      <w:r w:rsidR="00336560" w:rsidRPr="00A41ECB">
        <w:t xml:space="preserve"> </w:t>
      </w:r>
      <w:r w:rsidRPr="00A41ECB">
        <w:t>in power transmission networks as a continuous-time optimal control problem, where the Lagrange multiplier trajectories of nodal power balance constraints are defined as continuous-time LMP</w:t>
      </w:r>
      <w:r w:rsidR="00F93672">
        <w:t>s</w:t>
      </w:r>
      <w:r w:rsidRPr="00A41ECB">
        <w:t xml:space="preserve">. In addition, the adjoint functions associated with ES state equations are calculated in closed-form, which define the locational value of stored energy (LVSE) in ES devices. The notion of LVSE is, then, leveraged to define incremental charging utility and discharging cost rates of ES devices, which pass on the spatio-temporal values of ES devices to the continuous-time LMPs. </w:t>
      </w:r>
      <w:r w:rsidR="00336560">
        <w:t xml:space="preserve">The completion of this task is resulted in </w:t>
      </w:r>
      <w:r w:rsidR="00E14EEF" w:rsidRPr="00E14EEF">
        <w:t>papers</w:t>
      </w:r>
      <w:r w:rsidR="00E14EEF">
        <w:rPr>
          <w:i/>
          <w:iCs w:val="0"/>
        </w:rPr>
        <w:t xml:space="preserve"> </w:t>
      </w:r>
      <w:r w:rsidR="007C4972">
        <w:t>[J</w:t>
      </w:r>
      <w:r w:rsidR="00451A8C">
        <w:t>3</w:t>
      </w:r>
      <w:r w:rsidR="007C4972">
        <w:t>], [J6</w:t>
      </w:r>
      <w:r w:rsidR="00A64D10">
        <w:t>]</w:t>
      </w:r>
      <w:r w:rsidR="007C4972">
        <w:t>.</w:t>
      </w:r>
      <w:r w:rsidR="00336560">
        <w:t xml:space="preserve"> </w:t>
      </w:r>
    </w:p>
    <w:p w14:paraId="628D9C73" w14:textId="178BEB41" w:rsidR="008C73EF" w:rsidRPr="004C077B" w:rsidRDefault="004C077B" w:rsidP="00711E38">
      <w:pPr>
        <w:pStyle w:val="ListParagraph"/>
        <w:numPr>
          <w:ilvl w:val="0"/>
          <w:numId w:val="4"/>
        </w:numPr>
        <w:rPr>
          <w:i/>
          <w:iCs w:val="0"/>
        </w:rPr>
      </w:pPr>
      <w:r w:rsidRPr="004C077B">
        <w:rPr>
          <w:b/>
          <w:bCs/>
        </w:rPr>
        <w:t xml:space="preserve">Developing Models for Scheduling and Pricing of </w:t>
      </w:r>
      <w:r w:rsidR="00F23A6B" w:rsidRPr="004C077B">
        <w:rPr>
          <w:b/>
          <w:bCs/>
        </w:rPr>
        <w:t>Load Flexibility</w:t>
      </w:r>
      <w:r w:rsidR="00F23A6B" w:rsidRPr="004C077B">
        <w:t xml:space="preserve">: This </w:t>
      </w:r>
      <w:r w:rsidRPr="004C077B">
        <w:t>task</w:t>
      </w:r>
      <w:r w:rsidR="00F23A6B" w:rsidRPr="004C077B">
        <w:t xml:space="preserve"> </w:t>
      </w:r>
      <w:r w:rsidRPr="004C077B">
        <w:t>developed</w:t>
      </w:r>
      <w:r w:rsidR="00F23A6B" w:rsidRPr="004C077B">
        <w:t xml:space="preserve"> a fundamental approach for scheduling and pricing of load flexibility in power systems operation. An optimal control model is proposed to co-optimize the continuous-time flexibility of loads with the operation of generating units to supply the flexibility requirements of the net-load, while satisfying delay-based and deadline-based service quality constraints of the flexible loads. A function space-based solution method is developed to solve the continuous-time problem, which is based on reducing the dimensionality of the continuous-time decision and parameter trajectories by modeling them in a finite-order function space formed by Bernstein polynomials. The proposed method converts the continuous-time problem into a mixed-integer linear programming problem with the Bernstein coordinates of the trajectories as the decision variables. The proposed method not only allows for full exploitation of the load flexibility through higher order solution spaces, but also includes the traditional discrete-time solution as a special case. This paper proves that the Lagrange multiplier associated with the continuous-time power balance constraint is the continuous-time marginal price of electricity in the presence of flexible loads. The marginal price is calculated in a closed from, which demonstrates the dependence of the price on the incremental cost rates of generating units, on parameters of the flexible loads, as well as on ramping limitations of generating units and flexible loads. </w:t>
      </w:r>
      <w:r w:rsidRPr="004C077B">
        <w:t xml:space="preserve">The completion of this task is resulted in </w:t>
      </w:r>
      <w:r w:rsidR="00E14EEF" w:rsidRPr="00E14EEF">
        <w:t>papers</w:t>
      </w:r>
      <w:r w:rsidR="00E14EEF">
        <w:rPr>
          <w:i/>
          <w:iCs w:val="0"/>
        </w:rPr>
        <w:t xml:space="preserve"> </w:t>
      </w:r>
      <w:r w:rsidR="007C4972">
        <w:t>[J</w:t>
      </w:r>
      <w:r w:rsidR="00451A8C">
        <w:t>2</w:t>
      </w:r>
      <w:r w:rsidR="007C4972">
        <w:t>], [C2].</w:t>
      </w:r>
    </w:p>
    <w:p w14:paraId="31711E5C" w14:textId="7FAFB2C1" w:rsidR="00C630FA" w:rsidRDefault="009A5604" w:rsidP="00711E38">
      <w:pPr>
        <w:pStyle w:val="ListParagraph"/>
        <w:numPr>
          <w:ilvl w:val="0"/>
          <w:numId w:val="4"/>
        </w:numPr>
      </w:pPr>
      <w:r w:rsidRPr="009A5604">
        <w:rPr>
          <w:b/>
          <w:bCs/>
        </w:rPr>
        <w:t>Developed a Stochastic Multi-Fidelity Continuous-time Optimization Model for Scheduling Flexibility Reserve in Electricity Markets</w:t>
      </w:r>
      <w:r w:rsidR="00A7074D" w:rsidRPr="009A5604">
        <w:t xml:space="preserve">: This </w:t>
      </w:r>
      <w:r>
        <w:t>task</w:t>
      </w:r>
      <w:r w:rsidR="00A7074D" w:rsidRPr="009A5604">
        <w:t xml:space="preserve"> propose</w:t>
      </w:r>
      <w:r>
        <w:t>d</w:t>
      </w:r>
      <w:r w:rsidR="00A7074D" w:rsidRPr="009A5604">
        <w:t xml:space="preserve"> a novel stochastic optimization model for multi-fidelity scheduling of energy and flexibility reserve capacity in day-ahead operation. The proposed model, formulated as a two-stage stochastic optimization problem, co</w:t>
      </w:r>
      <w:r w:rsidR="008C73EF" w:rsidRPr="009A5604">
        <w:t>-</w:t>
      </w:r>
      <w:r w:rsidR="00A7074D" w:rsidRPr="009A5604">
        <w:t xml:space="preserve">optimizes day-ahead decision trajectories in the first stage with higher-fidelity real-time decision trajectories in the second stage. The term fidelity refers to the modeling accuracy of parameters and decision trajectories in the optimization problem. The proposed multi-fidelity modeling approach enables integrating and optimizing different decision trajectories with different levels of accuracy in a single optimization problem. This </w:t>
      </w:r>
      <w:r w:rsidRPr="009A5604">
        <w:t>task</w:t>
      </w:r>
      <w:r w:rsidR="00A7074D" w:rsidRPr="009A5604">
        <w:t xml:space="preserve"> defines flexibility reserve trajectory that combines the balancing reserve and flexible ramping products in current markets, as it embeds flexible ramping trajectories as time derivative of the reserve trajectories. Thus, the flexibility reserve not only supplies the real-time energy imbalance, but also the real-time ramping requirements by a single reserve product. The variability and uncertainty of load and RES are characterized by continuous-time stochastic processes. A second-order moment matching method is proposed to reduce the dimensionality of continuous probability spaces and Bernstein polynomials of different degrees are used to model the day-ahead mean and real-time realizations with different fidelity.</w:t>
      </w:r>
      <w:r>
        <w:t xml:space="preserve"> </w:t>
      </w:r>
      <w:r w:rsidR="00A7074D" w:rsidRPr="009A5604">
        <w:t xml:space="preserve">The proposed model integrates decisions with different levels of fidelity in a single stochastic optimization problem: day-ahead energy trajectories, day-ahead flexibility reserve capacity trajectories, and real-time flexibility reserve deployment trajectories are modeled with Bernstein polynomials with three different degrees as required to match the variability and uncertainty of load and RES in day-ahead and real-time operations. The proposed model includes as a special case the current discrete-time stochastic </w:t>
      </w:r>
      <w:r>
        <w:t>scheduling</w:t>
      </w:r>
      <w:r w:rsidR="00A7074D" w:rsidRPr="009A5604">
        <w:t xml:space="preserve"> model by choosing Bernstein polynomials of degree 0 for modeling all decision variables.</w:t>
      </w:r>
      <w:r w:rsidR="00E63E91" w:rsidRPr="009A5604">
        <w:t xml:space="preserve"> </w:t>
      </w:r>
      <w:r w:rsidR="00530D94">
        <w:t xml:space="preserve">In a follow up work, this task was extended to include ES systems in the proposed model and schedule flexibility reserve for both generating units and ES systems. </w:t>
      </w:r>
      <w:r w:rsidR="00530D94" w:rsidRPr="004C077B">
        <w:t>The completion of this task is resulted in</w:t>
      </w:r>
      <w:r w:rsidR="00E14EEF" w:rsidRPr="00E14EEF">
        <w:t xml:space="preserve"> papers</w:t>
      </w:r>
      <w:r w:rsidR="00530D94" w:rsidRPr="004C077B">
        <w:t xml:space="preserve"> </w:t>
      </w:r>
      <w:r w:rsidR="007C4972">
        <w:t>[J</w:t>
      </w:r>
      <w:r w:rsidR="00451A8C">
        <w:t>4</w:t>
      </w:r>
      <w:r w:rsidR="007C4972">
        <w:t>], [J</w:t>
      </w:r>
      <w:r w:rsidR="00451A8C">
        <w:t>5</w:t>
      </w:r>
      <w:r w:rsidR="007C4972">
        <w:t>].</w:t>
      </w:r>
    </w:p>
    <w:p w14:paraId="74B31E52" w14:textId="1CA0A17F" w:rsidR="00530D94" w:rsidRPr="00530D94" w:rsidRDefault="00C32EBD" w:rsidP="00711E38">
      <w:pPr>
        <w:pStyle w:val="ListParagraph"/>
        <w:widowControl w:val="0"/>
        <w:numPr>
          <w:ilvl w:val="0"/>
          <w:numId w:val="4"/>
        </w:numPr>
        <w:spacing w:before="100" w:after="0"/>
        <w:contextualSpacing/>
        <w:rPr>
          <w:rFonts w:eastAsia="Times New Roman"/>
        </w:rPr>
      </w:pPr>
      <w:r w:rsidRPr="00530D94">
        <w:rPr>
          <w:rFonts w:eastAsia="Times New Roman"/>
          <w:b/>
          <w:bCs/>
        </w:rPr>
        <w:t>Evaluation of</w:t>
      </w:r>
      <w:r w:rsidR="00530D94" w:rsidRPr="00530D94">
        <w:rPr>
          <w:rFonts w:eastAsia="Times New Roman"/>
          <w:b/>
          <w:bCs/>
        </w:rPr>
        <w:t xml:space="preserve"> Accuracy and Computational Complexity of Stochastic Continuous-time </w:t>
      </w:r>
      <w:r w:rsidR="00530D94">
        <w:rPr>
          <w:rFonts w:eastAsia="Times New Roman"/>
          <w:b/>
          <w:bCs/>
        </w:rPr>
        <w:t>Unit Commitment</w:t>
      </w:r>
      <w:r w:rsidR="00530D94">
        <w:rPr>
          <w:rFonts w:eastAsia="Times New Roman"/>
        </w:rPr>
        <w:t xml:space="preserve">: </w:t>
      </w:r>
      <w:r w:rsidR="00530D94" w:rsidRPr="00530D94">
        <w:rPr>
          <w:rFonts w:eastAsia="Times New Roman"/>
        </w:rPr>
        <w:t>Th</w:t>
      </w:r>
      <w:r w:rsidR="00530D94">
        <w:rPr>
          <w:rFonts w:eastAsia="Times New Roman"/>
        </w:rPr>
        <w:t>is task developed an analytical approach for</w:t>
      </w:r>
      <w:r w:rsidR="00530D94" w:rsidRPr="00530D94">
        <w:rPr>
          <w:rFonts w:eastAsia="Times New Roman"/>
        </w:rPr>
        <w:t xml:space="preserve"> evaluating the accuracy of the proposed model given different levels of modeling fidelity for load profile and generation schedule. In this regard, the proposed model is implemented on the IEEE reliability test system and solved for different values of modeling accuracy as given by the degree of Bernstein polynomials. In addition, the discrete-time model is also tested for different values of time discretization. The results are shown in Table 1 and 2 below, respectively for the continuous-time and discrete-time models. The results in Table 1 indicates that as the degree of Bernstein polynomials increases, both day-ahead and real</w:t>
      </w:r>
      <w:r w:rsidR="00530D94">
        <w:rPr>
          <w:rFonts w:eastAsia="Times New Roman"/>
        </w:rPr>
        <w:t>-</w:t>
      </w:r>
      <w:r w:rsidR="00530D94" w:rsidRPr="00530D94">
        <w:rPr>
          <w:rFonts w:eastAsia="Times New Roman"/>
        </w:rPr>
        <w:t xml:space="preserve">time operation costs decrease, highlighting that the accurate modeling of decision and load trajectories, as well as the inequality constraints of the </w:t>
      </w:r>
      <w:r w:rsidR="00D72273">
        <w:rPr>
          <w:rFonts w:eastAsia="Times New Roman"/>
        </w:rPr>
        <w:t>continuous-time</w:t>
      </w:r>
      <w:r w:rsidR="00530D94" w:rsidRPr="00530D94">
        <w:rPr>
          <w:rFonts w:eastAsia="Times New Roman"/>
        </w:rPr>
        <w:t xml:space="preserve"> UC problem could more effectively harvest the flexibility of generating units and leads to operation costs even less than the discrete-time models of very small granularity in Table 2 (e.g., 5-minute model). Additionally, all continuous-time models outperform discrete-time models in terms of quality of supply and the number of scarcity events, as the models of degree 1 and 2 respectively experience 3 and 1 scarcity events while the models of degree 3 and 4 do not experience any scarcity events. The continuous-time models are all computationally efficient and the highest simulation time attributed to the continuous-time model of degree 4 is still less than that for half-hourly model. </w:t>
      </w:r>
    </w:p>
    <w:p w14:paraId="169F3863" w14:textId="0F638AD3" w:rsidR="00530D94" w:rsidRDefault="00530D94" w:rsidP="00530D94">
      <w:pPr>
        <w:widowControl w:val="0"/>
        <w:spacing w:before="100" w:after="0"/>
        <w:contextualSpacing/>
        <w:rPr>
          <w:rFonts w:eastAsia="Times New Roman"/>
        </w:rPr>
      </w:pPr>
    </w:p>
    <w:p w14:paraId="78D17B3E" w14:textId="5185EB61" w:rsidR="00FC6DCA" w:rsidRDefault="00FC6DCA" w:rsidP="00530D94">
      <w:pPr>
        <w:widowControl w:val="0"/>
        <w:spacing w:before="100" w:after="0"/>
        <w:contextualSpacing/>
        <w:rPr>
          <w:rFonts w:eastAsia="Times New Roman"/>
        </w:rPr>
      </w:pPr>
    </w:p>
    <w:p w14:paraId="19A3BA96" w14:textId="77777777" w:rsidR="00FC6DCA" w:rsidRPr="00530D94" w:rsidRDefault="00FC6DCA" w:rsidP="00530D94">
      <w:pPr>
        <w:widowControl w:val="0"/>
        <w:spacing w:before="100" w:after="0"/>
        <w:contextualSpacing/>
        <w:rPr>
          <w:rFonts w:eastAsia="Times New Roman"/>
        </w:rPr>
      </w:pPr>
    </w:p>
    <w:p w14:paraId="7542E688" w14:textId="77777777" w:rsidR="00530D94" w:rsidRPr="00D72273" w:rsidRDefault="00530D94" w:rsidP="00530D94">
      <w:pPr>
        <w:widowControl w:val="0"/>
        <w:spacing w:before="100" w:after="0"/>
        <w:contextualSpacing/>
        <w:jc w:val="center"/>
        <w:rPr>
          <w:rFonts w:eastAsia="Times New Roman"/>
          <w:i w:val="0"/>
          <w:iCs/>
          <w:sz w:val="20"/>
          <w:szCs w:val="20"/>
        </w:rPr>
      </w:pPr>
      <w:r w:rsidRPr="00D72273">
        <w:rPr>
          <w:rFonts w:eastAsia="Times New Roman"/>
          <w:i w:val="0"/>
          <w:iCs/>
          <w:sz w:val="20"/>
          <w:szCs w:val="20"/>
        </w:rPr>
        <w:t>Table 1: Result of continuous-time UC model for different values of modeling accuracy</w:t>
      </w:r>
    </w:p>
    <w:p w14:paraId="2292F4EE" w14:textId="77777777" w:rsidR="00530D94" w:rsidRPr="00530D94" w:rsidRDefault="00530D94" w:rsidP="00530D94">
      <w:pPr>
        <w:widowControl w:val="0"/>
        <w:spacing w:before="100" w:after="0"/>
        <w:contextualSpacing/>
        <w:jc w:val="center"/>
        <w:rPr>
          <w:rFonts w:eastAsia="Times New Roman"/>
        </w:rPr>
      </w:pPr>
      <w:r w:rsidRPr="001509EC">
        <w:rPr>
          <w:noProof/>
        </w:rPr>
        <w:drawing>
          <wp:inline distT="0" distB="0" distL="0" distR="0" wp14:anchorId="376BCC67" wp14:editId="76A9B631">
            <wp:extent cx="4934059" cy="20664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1168" cy="2090317"/>
                    </a:xfrm>
                    <a:prstGeom prst="rect">
                      <a:avLst/>
                    </a:prstGeom>
                  </pic:spPr>
                </pic:pic>
              </a:graphicData>
            </a:graphic>
          </wp:inline>
        </w:drawing>
      </w:r>
    </w:p>
    <w:p w14:paraId="7ACB1C4F" w14:textId="67BF7AB9" w:rsidR="00530D94" w:rsidRDefault="00530D94" w:rsidP="00530D94">
      <w:pPr>
        <w:spacing w:after="0"/>
        <w:contextualSpacing/>
        <w:rPr>
          <w:rFonts w:eastAsia="Times New Roman"/>
        </w:rPr>
      </w:pPr>
    </w:p>
    <w:p w14:paraId="37D3EE0A" w14:textId="77777777" w:rsidR="00D72273" w:rsidRPr="00530D94" w:rsidRDefault="00D72273" w:rsidP="00530D94">
      <w:pPr>
        <w:spacing w:after="0"/>
        <w:contextualSpacing/>
        <w:rPr>
          <w:rFonts w:eastAsia="Times New Roman"/>
        </w:rPr>
      </w:pPr>
    </w:p>
    <w:p w14:paraId="5D09F856" w14:textId="77777777" w:rsidR="00530D94" w:rsidRPr="00D72273" w:rsidRDefault="00530D94" w:rsidP="00530D94">
      <w:pPr>
        <w:widowControl w:val="0"/>
        <w:spacing w:before="100" w:after="0"/>
        <w:contextualSpacing/>
        <w:jc w:val="center"/>
        <w:rPr>
          <w:rFonts w:eastAsia="Times New Roman"/>
          <w:i w:val="0"/>
          <w:iCs/>
          <w:sz w:val="20"/>
          <w:szCs w:val="20"/>
        </w:rPr>
      </w:pPr>
      <w:r w:rsidRPr="00D72273">
        <w:rPr>
          <w:rFonts w:eastAsia="Times New Roman"/>
          <w:i w:val="0"/>
          <w:iCs/>
          <w:sz w:val="20"/>
          <w:szCs w:val="20"/>
        </w:rPr>
        <w:t>Table 2: Result of discrete-time UC model for different values of modeling accuracy</w:t>
      </w:r>
    </w:p>
    <w:p w14:paraId="4E6C7ABE" w14:textId="32A5F57D" w:rsidR="00043B4D" w:rsidRPr="001D4C54" w:rsidRDefault="00530D94" w:rsidP="001D4C54">
      <w:pPr>
        <w:spacing w:after="0"/>
        <w:contextualSpacing/>
        <w:jc w:val="center"/>
        <w:rPr>
          <w:rFonts w:eastAsia="Times New Roman"/>
        </w:rPr>
      </w:pPr>
      <w:r w:rsidRPr="00FA4CE5">
        <w:rPr>
          <w:noProof/>
        </w:rPr>
        <w:drawing>
          <wp:inline distT="0" distB="0" distL="0" distR="0" wp14:anchorId="750D9FA9" wp14:editId="576F5BB1">
            <wp:extent cx="4932000" cy="206711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3335" cy="2101208"/>
                    </a:xfrm>
                    <a:prstGeom prst="rect">
                      <a:avLst/>
                    </a:prstGeom>
                  </pic:spPr>
                </pic:pic>
              </a:graphicData>
            </a:graphic>
          </wp:inline>
        </w:drawing>
      </w:r>
    </w:p>
    <w:p w14:paraId="78762AA2" w14:textId="77777777" w:rsidR="00451A8C" w:rsidRDefault="00451A8C" w:rsidP="00043B4D">
      <w:pPr>
        <w:rPr>
          <w:i w:val="0"/>
          <w:iCs/>
        </w:rPr>
      </w:pPr>
    </w:p>
    <w:p w14:paraId="24E44481" w14:textId="12699B44" w:rsidR="00043B4D" w:rsidRPr="00E94FC0" w:rsidRDefault="00043B4D" w:rsidP="00043B4D">
      <w:pPr>
        <w:rPr>
          <w:i w:val="0"/>
          <w:iCs/>
        </w:rPr>
      </w:pPr>
      <w:r w:rsidRPr="00E94FC0">
        <w:rPr>
          <w:i w:val="0"/>
          <w:iCs/>
        </w:rPr>
        <w:t>The application of the proposed continuous-time operation scheduling models would modify the forward commitment and schedule of generating units, ES devices and flexible loads, and would line up the resources in such a way that the composition of available resources is better prepared to respond to the sub-hourly variations of the load and renewable resources in real-time operation. Therefore, this project pave</w:t>
      </w:r>
      <w:r w:rsidR="001D4C54">
        <w:rPr>
          <w:i w:val="0"/>
          <w:iCs/>
        </w:rPr>
        <w:t>s</w:t>
      </w:r>
      <w:r w:rsidRPr="00E94FC0">
        <w:rPr>
          <w:i w:val="0"/>
          <w:iCs/>
        </w:rPr>
        <w:t xml:space="preserve"> the way to sustainable, reliable, and economic integration of renewable energy resources in power system, supporting the progress towards reaching the national targets on energy independence. Even if </w:t>
      </w:r>
      <w:r w:rsidR="001D4C54">
        <w:rPr>
          <w:i w:val="0"/>
          <w:iCs/>
        </w:rPr>
        <w:t>the proposed</w:t>
      </w:r>
      <w:r w:rsidRPr="00E94FC0">
        <w:rPr>
          <w:i w:val="0"/>
          <w:iCs/>
        </w:rPr>
        <w:t xml:space="preserve"> </w:t>
      </w:r>
      <w:r w:rsidR="001D4C54">
        <w:rPr>
          <w:i w:val="0"/>
          <w:iCs/>
        </w:rPr>
        <w:t>models</w:t>
      </w:r>
      <w:r w:rsidRPr="00E94FC0">
        <w:rPr>
          <w:i w:val="0"/>
          <w:iCs/>
        </w:rPr>
        <w:t xml:space="preserve"> </w:t>
      </w:r>
      <w:r w:rsidR="007C4972" w:rsidRPr="00E94FC0">
        <w:rPr>
          <w:i w:val="0"/>
          <w:iCs/>
        </w:rPr>
        <w:t>offer</w:t>
      </w:r>
      <w:r w:rsidRPr="00E94FC0">
        <w:rPr>
          <w:i w:val="0"/>
          <w:iCs/>
        </w:rPr>
        <w:t xml:space="preserve"> a radically different point of view</w:t>
      </w:r>
      <w:r w:rsidR="001D4C54">
        <w:rPr>
          <w:i w:val="0"/>
          <w:iCs/>
        </w:rPr>
        <w:t xml:space="preserve"> as compared to existing models</w:t>
      </w:r>
      <w:r w:rsidRPr="00E94FC0">
        <w:rPr>
          <w:i w:val="0"/>
          <w:iCs/>
        </w:rPr>
        <w:t>, it does not alter fundamentally the architecture of power systems operations, nor the complexity of the scheduling problem, so the integration of this project in power systems is extremely practical.</w:t>
      </w:r>
    </w:p>
    <w:p w14:paraId="49DFAC5D" w14:textId="77777777" w:rsidR="00043B4D" w:rsidRPr="00A7074D" w:rsidRDefault="00043B4D" w:rsidP="00CC25B9">
      <w:pPr>
        <w:rPr>
          <w:i w:val="0"/>
          <w:iCs/>
        </w:rPr>
      </w:pPr>
    </w:p>
    <w:p w14:paraId="62B2B904" w14:textId="77777777" w:rsidR="00671A7D" w:rsidRPr="004640BF" w:rsidRDefault="00671A7D" w:rsidP="00CC25B9">
      <w:r w:rsidRPr="004640BF">
        <w:br w:type="page"/>
      </w:r>
    </w:p>
    <w:p w14:paraId="5B03F362" w14:textId="2DB89417" w:rsidR="00C96FF6" w:rsidRPr="00E647C1" w:rsidRDefault="007F5C14" w:rsidP="00CC25B9">
      <w:pPr>
        <w:pStyle w:val="Heading3"/>
      </w:pPr>
      <w:bookmarkStart w:id="14" w:name="_Toc513462906"/>
      <w:bookmarkStart w:id="15" w:name="_Toc513463338"/>
      <w:bookmarkStart w:id="16" w:name="_Hlk511730040"/>
      <w:r w:rsidRPr="00E647C1">
        <w:t>APPENDIX</w:t>
      </w:r>
      <w:r w:rsidR="00E647C1" w:rsidRPr="00E647C1">
        <w:t xml:space="preserve"> A</w:t>
      </w:r>
      <w:r w:rsidRPr="00E647C1">
        <w:t xml:space="preserve">: </w:t>
      </w:r>
      <w:r w:rsidR="00C96FF6" w:rsidRPr="00E647C1">
        <w:t>Product or Technology Production</w:t>
      </w:r>
      <w:bookmarkEnd w:id="14"/>
      <w:bookmarkEnd w:id="15"/>
    </w:p>
    <w:bookmarkEnd w:id="16"/>
    <w:p w14:paraId="6593214C" w14:textId="51EC9D88" w:rsidR="007F5D14" w:rsidRPr="007F5D14" w:rsidRDefault="007F5D14" w:rsidP="001438B0">
      <w:pPr>
        <w:tabs>
          <w:tab w:val="clear" w:pos="360"/>
          <w:tab w:val="clear" w:pos="720"/>
          <w:tab w:val="clear" w:pos="1080"/>
          <w:tab w:val="clear" w:pos="1440"/>
          <w:tab w:val="clear" w:pos="1800"/>
          <w:tab w:val="clear" w:pos="2160"/>
          <w:tab w:val="clear" w:pos="2520"/>
          <w:tab w:val="clear" w:pos="2880"/>
        </w:tabs>
        <w:spacing w:after="0" w:line="259" w:lineRule="auto"/>
        <w:ind w:left="0"/>
        <w:jc w:val="left"/>
        <w:rPr>
          <w:i w:val="0"/>
          <w:iCs/>
        </w:rPr>
      </w:pPr>
      <w:r>
        <w:rPr>
          <w:i w:val="0"/>
          <w:iCs/>
        </w:rPr>
        <w:t xml:space="preserve">This project in total generated </w:t>
      </w:r>
      <w:r w:rsidR="0086175C">
        <w:rPr>
          <w:i w:val="0"/>
          <w:iCs/>
        </w:rPr>
        <w:t>8</w:t>
      </w:r>
      <w:r>
        <w:rPr>
          <w:i w:val="0"/>
          <w:iCs/>
        </w:rPr>
        <w:t xml:space="preserve"> high-impact journal papers, 6 conference papers, 3 published U.S. patents, and one web-based software for </w:t>
      </w:r>
      <w:r w:rsidRPr="007F5D14">
        <w:rPr>
          <w:i w:val="0"/>
          <w:iCs/>
        </w:rPr>
        <w:t>continuous-time operation optimization of power systems</w:t>
      </w:r>
      <w:r>
        <w:rPr>
          <w:i w:val="0"/>
          <w:iCs/>
        </w:rPr>
        <w:t>. These products are listed below:</w:t>
      </w:r>
    </w:p>
    <w:p w14:paraId="0A55F9AA" w14:textId="77777777" w:rsidR="00F4783F" w:rsidRDefault="00F4783F" w:rsidP="001438B0">
      <w:pPr>
        <w:tabs>
          <w:tab w:val="clear" w:pos="360"/>
          <w:tab w:val="clear" w:pos="720"/>
          <w:tab w:val="clear" w:pos="1080"/>
          <w:tab w:val="clear" w:pos="1440"/>
          <w:tab w:val="clear" w:pos="1800"/>
          <w:tab w:val="clear" w:pos="2160"/>
          <w:tab w:val="clear" w:pos="2520"/>
          <w:tab w:val="clear" w:pos="2880"/>
        </w:tabs>
        <w:spacing w:after="0" w:line="259" w:lineRule="auto"/>
        <w:ind w:left="0"/>
        <w:jc w:val="left"/>
        <w:rPr>
          <w:b/>
          <w:bCs/>
          <w:i w:val="0"/>
          <w:iCs/>
        </w:rPr>
      </w:pPr>
    </w:p>
    <w:p w14:paraId="02918901" w14:textId="7D644272" w:rsidR="00EA3623" w:rsidRPr="00EA3623" w:rsidRDefault="00EA3623">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b/>
          <w:bCs/>
          <w:i w:val="0"/>
          <w:iCs/>
        </w:rPr>
      </w:pPr>
      <w:r w:rsidRPr="00EA3623">
        <w:rPr>
          <w:b/>
          <w:bCs/>
          <w:i w:val="0"/>
          <w:iCs/>
        </w:rPr>
        <w:t>Journal Papers:</w:t>
      </w:r>
    </w:p>
    <w:p w14:paraId="5955A188" w14:textId="36ACC902" w:rsidR="00445323" w:rsidRDefault="00445323" w:rsidP="00711E38">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445323">
        <w:rPr>
          <w:i w:val="0"/>
          <w:iCs/>
          <w:sz w:val="22"/>
          <w:szCs w:val="22"/>
        </w:rPr>
        <w:t>R. Khatami, M. Parvania, P. Khargonekar, “Scheduling and Pricing of Energy Generation and Storage in Power Systems,” IEEE Transactions on Power Systems, vol. 33, no. 4, pp. 4308-4322, July 2018.</w:t>
      </w:r>
    </w:p>
    <w:p w14:paraId="1DA81C82" w14:textId="4B434D97" w:rsidR="00445323" w:rsidRDefault="00445323" w:rsidP="00711E38">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445323">
        <w:rPr>
          <w:i w:val="0"/>
          <w:iCs/>
          <w:sz w:val="22"/>
          <w:szCs w:val="22"/>
        </w:rPr>
        <w:t>R. Khatami, M. Heidarifar, M. Parvania, P. Khargonekar, “Scheduling and Pricing of Flexible Loads in Power Systems,” IEEE Journal of Selected Topics in Signal Processing, vol. 12, no. 4, pp. 645-656, Aug. 2018.</w:t>
      </w:r>
    </w:p>
    <w:p w14:paraId="70048A52" w14:textId="15368373" w:rsidR="00445323" w:rsidRDefault="00445323" w:rsidP="00711E38">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445323">
        <w:rPr>
          <w:i w:val="0"/>
          <w:iCs/>
          <w:sz w:val="22"/>
          <w:szCs w:val="22"/>
        </w:rPr>
        <w:t>R. Khatami, M. Parvania, “Continuous-time Locational Marginal Price of Electricity,” IEEE Access, vol. 7, pp. 129480-129493, 2019.</w:t>
      </w:r>
    </w:p>
    <w:p w14:paraId="0B27CF73" w14:textId="77777777" w:rsidR="00451A8C" w:rsidRDefault="00451A8C" w:rsidP="00451A8C">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R. Khatami, M. Parvania, A. Narayan, “Flexibility Reserve in Power Systems: Definition and Stochastic Multi-Fidelity Optimization,” IEEE Transactions on Smart Grid, vol. 11, no. 1, pp. 644-654, 2020.</w:t>
      </w:r>
    </w:p>
    <w:p w14:paraId="675D8E45" w14:textId="485F82AE" w:rsidR="00451A8C" w:rsidRPr="00451A8C" w:rsidRDefault="00451A8C" w:rsidP="00451A8C">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R. Khatami, M. Parvania, “Stochastic Multi-Fidelity Scheduling of Flexibility Reserve for Energy Storage,” IEEE Transactions on Sustainable Energy, vol. 11, no. 3, pp. 1438-1450, July 2020</w:t>
      </w:r>
      <w:r>
        <w:rPr>
          <w:i w:val="0"/>
          <w:iCs/>
          <w:sz w:val="22"/>
          <w:szCs w:val="22"/>
        </w:rPr>
        <w:t>.</w:t>
      </w:r>
    </w:p>
    <w:p w14:paraId="18A11D56" w14:textId="600002E7" w:rsidR="00445323" w:rsidRDefault="00D734C8" w:rsidP="00711E38">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R. Khatami, M. Parvania, “Spatio-Temporal Value of Energy Storage in Transmission Net-works,” IEEE Systems Journal, vol. 14, no. 3, pp. 3855 - 3864, 2020.</w:t>
      </w:r>
    </w:p>
    <w:p w14:paraId="0844B815" w14:textId="77777777" w:rsidR="007F5D14" w:rsidRDefault="007F5D14" w:rsidP="00711E38">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A. Bagherinezhad, R. Khatami, M. Parvania, “Continuous-Time Look-Ahead Flexible Ramp Scheduling in Real-time Operation,” International Journal of Electrical Power and Energy Sys-tems, vol. 119, pp. 105895, July 2020.</w:t>
      </w:r>
    </w:p>
    <w:p w14:paraId="7EC3B385" w14:textId="2FB039B1" w:rsidR="0086175C" w:rsidRPr="0086175C" w:rsidRDefault="0086175C" w:rsidP="00711E38">
      <w:pPr>
        <w:numPr>
          <w:ilvl w:val="0"/>
          <w:numId w:val="5"/>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86175C">
        <w:rPr>
          <w:i w:val="0"/>
          <w:iCs/>
          <w:sz w:val="22"/>
          <w:szCs w:val="22"/>
        </w:rPr>
        <w:t>B. Li, A. Bagherinezhad, R. Khatami, M. Parvania, “Continuous-time Look-ahead Optimization of Energy Storage in Real-Time Balancing and Regulation Markets,” IEEE Systems Journal, in press, 2020.</w:t>
      </w:r>
    </w:p>
    <w:p w14:paraId="70FA43B6" w14:textId="77777777" w:rsidR="007F5D14" w:rsidRDefault="007F5D14" w:rsidP="001438B0">
      <w:pPr>
        <w:tabs>
          <w:tab w:val="clear" w:pos="360"/>
          <w:tab w:val="clear" w:pos="720"/>
          <w:tab w:val="clear" w:pos="1080"/>
          <w:tab w:val="clear" w:pos="1440"/>
          <w:tab w:val="clear" w:pos="1800"/>
          <w:tab w:val="clear" w:pos="2160"/>
          <w:tab w:val="clear" w:pos="2520"/>
          <w:tab w:val="clear" w:pos="2880"/>
        </w:tabs>
        <w:spacing w:after="0" w:line="259" w:lineRule="auto"/>
        <w:ind w:left="0"/>
        <w:jc w:val="left"/>
        <w:rPr>
          <w:b/>
          <w:bCs/>
          <w:i w:val="0"/>
          <w:iCs/>
        </w:rPr>
      </w:pPr>
    </w:p>
    <w:p w14:paraId="16FF61EA" w14:textId="35CF68F5" w:rsidR="00EA3623" w:rsidRPr="00EA3623" w:rsidRDefault="00EA3623">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b/>
          <w:bCs/>
          <w:i w:val="0"/>
          <w:iCs/>
        </w:rPr>
      </w:pPr>
      <w:r w:rsidRPr="00EA3623">
        <w:rPr>
          <w:b/>
          <w:bCs/>
          <w:i w:val="0"/>
          <w:iCs/>
        </w:rPr>
        <w:t>Conference Papers:</w:t>
      </w:r>
    </w:p>
    <w:p w14:paraId="2D360756" w14:textId="28628A75" w:rsidR="007C4972" w:rsidRDefault="007C4972" w:rsidP="00711E38">
      <w:pPr>
        <w:numPr>
          <w:ilvl w:val="0"/>
          <w:numId w:val="7"/>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EA3623">
        <w:rPr>
          <w:i w:val="0"/>
          <w:iCs/>
          <w:sz w:val="22"/>
          <w:szCs w:val="22"/>
        </w:rPr>
        <w:t xml:space="preserve">R. Khatami, M. Parvania, P. Khargonekar, and A. Narayan, “Continuous-time stochastic modeling and estimation of electricity load,” in Proc. 2018 IEEE Conference on Decision and Control (CDC), 2018, pp. 3988–3993. </w:t>
      </w:r>
    </w:p>
    <w:p w14:paraId="073F00B8" w14:textId="1403997B" w:rsidR="00D734C8" w:rsidRDefault="00D734C8" w:rsidP="00711E38">
      <w:pPr>
        <w:numPr>
          <w:ilvl w:val="0"/>
          <w:numId w:val="7"/>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R. Khatami, M. Parvania, K. Oikonomou, “Continuous-time Optimal Charging Control of Plug-in Electric Vehicles,” in Proc. IEEE Innovative Smart Grid Technologies (ISGT) Conference, Washington, DC, Feb. 2018.</w:t>
      </w:r>
    </w:p>
    <w:p w14:paraId="74333598" w14:textId="332748C3" w:rsidR="00D734C8" w:rsidRDefault="00D734C8" w:rsidP="00711E38">
      <w:pPr>
        <w:numPr>
          <w:ilvl w:val="0"/>
          <w:numId w:val="7"/>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R. Khatami, M. Parvania, A. Bagherinezhad, “Continuous-time Model Predictive Control for Re-al-time Flexibility Scheduling of Plugin Electric Vehicles,” in Proc. 10th IFAC Symposium on Control of Power &amp; Energy Systems (CPES2018), Tokyo, Japan, September 4-6, 2018.</w:t>
      </w:r>
    </w:p>
    <w:p w14:paraId="3D57A0AE" w14:textId="27885223" w:rsidR="00D734C8" w:rsidRDefault="00D734C8" w:rsidP="00711E38">
      <w:pPr>
        <w:numPr>
          <w:ilvl w:val="0"/>
          <w:numId w:val="7"/>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R. Khatami, M. Parvania, P. Khargonekar, “Continuous-time Look-Ahead Scheduling of Energy Storage in Regulation Markets,” in Proc. 52nd Hawaii International Conference on System Sciences (HICSS), Maui, HI, January 8-11, 2019. (nominated for best paper award).</w:t>
      </w:r>
    </w:p>
    <w:p w14:paraId="4E67E5F1" w14:textId="77777777" w:rsidR="00D734C8" w:rsidRDefault="00D734C8" w:rsidP="00711E38">
      <w:pPr>
        <w:numPr>
          <w:ilvl w:val="0"/>
          <w:numId w:val="7"/>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A. Bagherinezhad, M. Parvania, “Continuous-time Flexible Ramp Scheduling in Forward Power Systems Operation,” in Proc. 2019 IEEE PES General Meeting, Atlanta, GA, August 4-8, 2019.</w:t>
      </w:r>
    </w:p>
    <w:p w14:paraId="0297E796" w14:textId="0E2C23D9" w:rsidR="00D734C8" w:rsidRPr="00EA3623" w:rsidRDefault="00D734C8" w:rsidP="00711E38">
      <w:pPr>
        <w:numPr>
          <w:ilvl w:val="0"/>
          <w:numId w:val="7"/>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D734C8">
        <w:rPr>
          <w:i w:val="0"/>
          <w:iCs/>
          <w:sz w:val="22"/>
          <w:szCs w:val="22"/>
        </w:rPr>
        <w:t xml:space="preserve">R. Khatami, M. Parvania, “Optimal Coordination of Energy Storage and Generation Flexibility in Transmission Networks,” in Proc. 2019 IEEE PES General Meeting, Atlanta, GA, August 4-8, 2019. (best paper award).  </w:t>
      </w:r>
    </w:p>
    <w:p w14:paraId="0D41263C" w14:textId="77777777" w:rsidR="00EA3623" w:rsidRPr="00EA3623" w:rsidRDefault="00EA3623">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i w:val="0"/>
          <w:iCs/>
        </w:rPr>
      </w:pPr>
    </w:p>
    <w:p w14:paraId="447303F4" w14:textId="77777777" w:rsidR="00EA3623" w:rsidRPr="00EA3623" w:rsidRDefault="00EA3623">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b/>
          <w:bCs/>
          <w:i w:val="0"/>
          <w:iCs/>
        </w:rPr>
      </w:pPr>
      <w:r w:rsidRPr="00EA3623">
        <w:rPr>
          <w:b/>
          <w:bCs/>
          <w:i w:val="0"/>
          <w:iCs/>
        </w:rPr>
        <w:t xml:space="preserve">Patents: </w:t>
      </w:r>
    </w:p>
    <w:p w14:paraId="1045F677" w14:textId="77777777" w:rsidR="001F2D7E" w:rsidRPr="001F2D7E" w:rsidRDefault="001F2D7E" w:rsidP="00711E38">
      <w:pPr>
        <w:numPr>
          <w:ilvl w:val="0"/>
          <w:numId w:val="9"/>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1F2D7E">
        <w:rPr>
          <w:i w:val="0"/>
          <w:iCs/>
          <w:sz w:val="22"/>
          <w:szCs w:val="22"/>
        </w:rPr>
        <w:t>M. Parvania, R. Khatami, “Systems and Methods for Managing Power Generation and Storage Resources,” United States Patent 10509374, December 2019.</w:t>
      </w:r>
    </w:p>
    <w:p w14:paraId="670CDC70" w14:textId="77777777" w:rsidR="001F2D7E" w:rsidRPr="001F2D7E" w:rsidRDefault="001F2D7E" w:rsidP="00711E38">
      <w:pPr>
        <w:numPr>
          <w:ilvl w:val="0"/>
          <w:numId w:val="9"/>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1F2D7E">
        <w:rPr>
          <w:i w:val="0"/>
          <w:iCs/>
          <w:sz w:val="22"/>
          <w:szCs w:val="22"/>
        </w:rPr>
        <w:t>M. Parvania, “Systems and Methods for Managing Power Generation Resources,” United States Patent 10282687, May 2019.</w:t>
      </w:r>
    </w:p>
    <w:p w14:paraId="6D5BD6C2" w14:textId="3D42C701" w:rsidR="007F5D14" w:rsidRPr="007F5D14" w:rsidRDefault="001F2D7E" w:rsidP="00711E38">
      <w:pPr>
        <w:numPr>
          <w:ilvl w:val="0"/>
          <w:numId w:val="9"/>
        </w:numPr>
        <w:tabs>
          <w:tab w:val="clear" w:pos="360"/>
          <w:tab w:val="clear" w:pos="720"/>
          <w:tab w:val="clear" w:pos="1080"/>
          <w:tab w:val="clear" w:pos="1440"/>
          <w:tab w:val="clear" w:pos="1800"/>
          <w:tab w:val="clear" w:pos="2160"/>
          <w:tab w:val="clear" w:pos="2520"/>
          <w:tab w:val="clear" w:pos="2880"/>
        </w:tabs>
        <w:spacing w:after="0"/>
        <w:ind w:left="540" w:hanging="540"/>
        <w:rPr>
          <w:i w:val="0"/>
          <w:iCs/>
          <w:sz w:val="22"/>
          <w:szCs w:val="22"/>
        </w:rPr>
      </w:pPr>
      <w:r w:rsidRPr="001F2D7E">
        <w:rPr>
          <w:i w:val="0"/>
          <w:iCs/>
          <w:sz w:val="22"/>
          <w:szCs w:val="22"/>
        </w:rPr>
        <w:t>M. Parvania, A. Scaglione, “Systems and Methods for Power System Management,” United States Patent 10296030, May 2019.</w:t>
      </w:r>
    </w:p>
    <w:p w14:paraId="12A82292" w14:textId="77777777" w:rsidR="007F5D14" w:rsidRDefault="007F5D14" w:rsidP="007F5D14">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b/>
          <w:bCs/>
          <w:i w:val="0"/>
          <w:iCs/>
        </w:rPr>
      </w:pPr>
    </w:p>
    <w:p w14:paraId="6B655209" w14:textId="0E98B017" w:rsidR="007F5D14" w:rsidRPr="00EA3623" w:rsidRDefault="007F5D14" w:rsidP="007F5D14">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b/>
          <w:bCs/>
          <w:i w:val="0"/>
          <w:iCs/>
        </w:rPr>
      </w:pPr>
      <w:r w:rsidRPr="00EA3623">
        <w:rPr>
          <w:b/>
          <w:bCs/>
          <w:i w:val="0"/>
          <w:iCs/>
        </w:rPr>
        <w:t>Websites:</w:t>
      </w:r>
    </w:p>
    <w:p w14:paraId="51A91379" w14:textId="2F8D28D0" w:rsidR="0015132A" w:rsidRPr="00C32EBD" w:rsidRDefault="007F5D14" w:rsidP="00C32EBD">
      <w:pPr>
        <w:tabs>
          <w:tab w:val="clear" w:pos="360"/>
          <w:tab w:val="clear" w:pos="720"/>
          <w:tab w:val="clear" w:pos="1080"/>
          <w:tab w:val="clear" w:pos="1440"/>
          <w:tab w:val="clear" w:pos="1800"/>
          <w:tab w:val="clear" w:pos="2160"/>
          <w:tab w:val="clear" w:pos="2520"/>
          <w:tab w:val="clear" w:pos="2880"/>
        </w:tabs>
        <w:spacing w:after="160" w:line="259" w:lineRule="auto"/>
        <w:ind w:left="0"/>
        <w:jc w:val="left"/>
        <w:rPr>
          <w:i w:val="0"/>
          <w:iCs/>
        </w:rPr>
      </w:pPr>
      <w:r w:rsidRPr="007F5D14">
        <w:rPr>
          <w:i w:val="0"/>
          <w:iCs/>
        </w:rPr>
        <w:t>Metis:</w:t>
      </w:r>
      <w:r>
        <w:rPr>
          <w:i w:val="0"/>
          <w:iCs/>
        </w:rPr>
        <w:t xml:space="preserve"> An Online Software for</w:t>
      </w:r>
      <w:r w:rsidRPr="007F5D14">
        <w:rPr>
          <w:i w:val="0"/>
          <w:iCs/>
        </w:rPr>
        <w:t xml:space="preserve"> Continuous-time Operation Optimization of Power Systems</w:t>
      </w:r>
      <w:r>
        <w:rPr>
          <w:i w:val="0"/>
          <w:iCs/>
        </w:rPr>
        <w:t>:</w:t>
      </w:r>
      <w:r w:rsidRPr="007F5D14">
        <w:rPr>
          <w:i w:val="0"/>
          <w:iCs/>
        </w:rPr>
        <w:t xml:space="preserve"> </w:t>
      </w:r>
      <w:hyperlink r:id="rId17" w:history="1">
        <w:r w:rsidRPr="002A17DC">
          <w:rPr>
            <w:rStyle w:val="Hyperlink"/>
            <w:i w:val="0"/>
            <w:iCs/>
          </w:rPr>
          <w:t>https://usmart.ece.utah.edu/metis/</w:t>
        </w:r>
      </w:hyperlink>
      <w:r>
        <w:rPr>
          <w:i w:val="0"/>
          <w:iCs/>
        </w:rPr>
        <w:t xml:space="preserve"> </w:t>
      </w:r>
    </w:p>
    <w:sectPr w:rsidR="0015132A" w:rsidRPr="00C32EBD" w:rsidSect="008E1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F0C9C" w14:textId="77777777" w:rsidR="000E562A" w:rsidRDefault="000E562A" w:rsidP="00CC25B9">
      <w:r>
        <w:separator/>
      </w:r>
    </w:p>
    <w:p w14:paraId="0A33B130" w14:textId="77777777" w:rsidR="000E562A" w:rsidRDefault="000E562A" w:rsidP="00CC25B9"/>
    <w:p w14:paraId="7C214338" w14:textId="77777777" w:rsidR="000E562A" w:rsidRDefault="000E562A" w:rsidP="00CC25B9"/>
    <w:p w14:paraId="231CB1CF" w14:textId="77777777" w:rsidR="000E562A" w:rsidRDefault="000E562A" w:rsidP="00CC25B9"/>
  </w:endnote>
  <w:endnote w:type="continuationSeparator" w:id="0">
    <w:p w14:paraId="478F43E1" w14:textId="77777777" w:rsidR="000E562A" w:rsidRDefault="000E562A" w:rsidP="00CC25B9">
      <w:r>
        <w:continuationSeparator/>
      </w:r>
    </w:p>
    <w:p w14:paraId="5E2BF4DD" w14:textId="77777777" w:rsidR="000E562A" w:rsidRDefault="000E562A" w:rsidP="00CC25B9"/>
    <w:p w14:paraId="575DB23A" w14:textId="77777777" w:rsidR="000E562A" w:rsidRDefault="000E562A" w:rsidP="00CC25B9"/>
    <w:p w14:paraId="408B4325" w14:textId="77777777" w:rsidR="000E562A" w:rsidRDefault="000E562A" w:rsidP="00CC2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8"/>
      </w:rPr>
      <w:id w:val="924853815"/>
      <w:docPartObj>
        <w:docPartGallery w:val="Page Numbers (Bottom of Page)"/>
        <w:docPartUnique/>
      </w:docPartObj>
    </w:sdtPr>
    <w:sdtEndPr>
      <w:rPr>
        <w:noProof/>
        <w:sz w:val="24"/>
      </w:rPr>
    </w:sdtEndPr>
    <w:sdtContent>
      <w:p w14:paraId="5F6FDFBA" w14:textId="6F3843B3" w:rsidR="007B56D7" w:rsidRPr="002D3C44" w:rsidRDefault="000E562A" w:rsidP="00CC25B9">
        <w:pPr>
          <w:pStyle w:val="Footer"/>
        </w:pPr>
      </w:p>
    </w:sdtContent>
  </w:sdt>
  <w:p w14:paraId="61E6CD57" w14:textId="77777777" w:rsidR="007B56D7" w:rsidRDefault="007B56D7" w:rsidP="00CC2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i w:val="0"/>
      </w:rPr>
      <w:id w:val="1379818926"/>
      <w:docPartObj>
        <w:docPartGallery w:val="Page Numbers (Bottom of Page)"/>
        <w:docPartUnique/>
      </w:docPartObj>
    </w:sdtPr>
    <w:sdtEndPr>
      <w:rPr>
        <w:noProof/>
      </w:rPr>
    </w:sdtEndPr>
    <w:sdtContent>
      <w:p w14:paraId="26483C7E" w14:textId="1B78D617" w:rsidR="0015132A" w:rsidRPr="0015132A" w:rsidRDefault="0015132A">
        <w:pPr>
          <w:pStyle w:val="Footer"/>
          <w:jc w:val="center"/>
          <w:rPr>
            <w:b/>
            <w:i w:val="0"/>
          </w:rPr>
        </w:pPr>
        <w:r w:rsidRPr="0015132A">
          <w:rPr>
            <w:b/>
            <w:i w:val="0"/>
          </w:rPr>
          <w:fldChar w:fldCharType="begin"/>
        </w:r>
        <w:r w:rsidRPr="0015132A">
          <w:rPr>
            <w:b/>
            <w:i w:val="0"/>
          </w:rPr>
          <w:instrText xml:space="preserve"> PAGE   \* MERGEFORMAT </w:instrText>
        </w:r>
        <w:r w:rsidRPr="0015132A">
          <w:rPr>
            <w:b/>
            <w:i w:val="0"/>
          </w:rPr>
          <w:fldChar w:fldCharType="separate"/>
        </w:r>
        <w:r w:rsidR="000A3B5F">
          <w:rPr>
            <w:b/>
            <w:i w:val="0"/>
            <w:noProof/>
          </w:rPr>
          <w:t>10</w:t>
        </w:r>
        <w:r w:rsidRPr="0015132A">
          <w:rPr>
            <w:b/>
            <w:i w:val="0"/>
            <w:noProof/>
          </w:rPr>
          <w:fldChar w:fldCharType="end"/>
        </w:r>
      </w:p>
    </w:sdtContent>
  </w:sdt>
  <w:p w14:paraId="5F28FCCC" w14:textId="77777777" w:rsidR="0015132A" w:rsidRPr="0015132A" w:rsidRDefault="0015132A" w:rsidP="00CC25B9">
    <w:pPr>
      <w:pStyle w:val="Footer"/>
      <w:rPr>
        <w:b/>
        <w:i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3664466"/>
      <w:docPartObj>
        <w:docPartGallery w:val="Page Numbers (Bottom of Page)"/>
        <w:docPartUnique/>
      </w:docPartObj>
    </w:sdtPr>
    <w:sdtEndPr>
      <w:rPr>
        <w:i w:val="0"/>
        <w:noProof/>
      </w:rPr>
    </w:sdtEndPr>
    <w:sdtContent>
      <w:p w14:paraId="4CBF9758" w14:textId="1C924BAC" w:rsidR="00343C20" w:rsidRPr="00343C20" w:rsidRDefault="00343C20">
        <w:pPr>
          <w:pStyle w:val="Footer"/>
          <w:jc w:val="center"/>
          <w:rPr>
            <w:i w:val="0"/>
          </w:rPr>
        </w:pPr>
        <w:r w:rsidRPr="00343C20">
          <w:rPr>
            <w:i w:val="0"/>
          </w:rPr>
          <w:fldChar w:fldCharType="begin"/>
        </w:r>
        <w:r w:rsidRPr="00343C20">
          <w:rPr>
            <w:i w:val="0"/>
          </w:rPr>
          <w:instrText xml:space="preserve"> PAGE   \* MERGEFORMAT </w:instrText>
        </w:r>
        <w:r w:rsidRPr="00343C20">
          <w:rPr>
            <w:i w:val="0"/>
          </w:rPr>
          <w:fldChar w:fldCharType="separate"/>
        </w:r>
        <w:r w:rsidR="0015132A">
          <w:rPr>
            <w:i w:val="0"/>
            <w:noProof/>
          </w:rPr>
          <w:t>1</w:t>
        </w:r>
        <w:r w:rsidRPr="00343C20">
          <w:rPr>
            <w:i w:val="0"/>
            <w:noProof/>
          </w:rPr>
          <w:fldChar w:fldCharType="end"/>
        </w:r>
      </w:p>
    </w:sdtContent>
  </w:sdt>
  <w:p w14:paraId="33A1A2E4" w14:textId="77777777" w:rsidR="004C0378" w:rsidRDefault="004C0378" w:rsidP="00CC2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74776" w14:textId="77777777" w:rsidR="000E562A" w:rsidRDefault="000E562A" w:rsidP="00CC25B9">
      <w:r>
        <w:separator/>
      </w:r>
    </w:p>
    <w:p w14:paraId="7B1D550D" w14:textId="77777777" w:rsidR="000E562A" w:rsidRDefault="000E562A" w:rsidP="00CC25B9"/>
    <w:p w14:paraId="2F54D619" w14:textId="77777777" w:rsidR="000E562A" w:rsidRDefault="000E562A" w:rsidP="00CC25B9"/>
    <w:p w14:paraId="64A65904" w14:textId="77777777" w:rsidR="000E562A" w:rsidRDefault="000E562A" w:rsidP="00CC25B9"/>
  </w:footnote>
  <w:footnote w:type="continuationSeparator" w:id="0">
    <w:p w14:paraId="30629D1C" w14:textId="77777777" w:rsidR="000E562A" w:rsidRDefault="000E562A" w:rsidP="00CC25B9">
      <w:r>
        <w:continuationSeparator/>
      </w:r>
    </w:p>
    <w:p w14:paraId="523213E3" w14:textId="77777777" w:rsidR="000E562A" w:rsidRDefault="000E562A" w:rsidP="00CC25B9"/>
    <w:p w14:paraId="6631C7B3" w14:textId="77777777" w:rsidR="000E562A" w:rsidRDefault="000E562A" w:rsidP="00CC25B9"/>
    <w:p w14:paraId="1EC70EDF" w14:textId="77777777" w:rsidR="000E562A" w:rsidRDefault="000E562A" w:rsidP="00CC25B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4F77"/>
    <w:multiLevelType w:val="hybridMultilevel"/>
    <w:tmpl w:val="97DA1B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3E939A8"/>
    <w:multiLevelType w:val="hybridMultilevel"/>
    <w:tmpl w:val="B396FD76"/>
    <w:lvl w:ilvl="0" w:tplc="1F6E3E44">
      <w:start w:val="1"/>
      <w:numFmt w:val="lowerLetter"/>
      <w:pStyle w:val="Heading4"/>
      <w:lvlText w:val="%1."/>
      <w:lvlJc w:val="left"/>
      <w:pPr>
        <w:ind w:left="1512" w:hanging="360"/>
      </w:pPr>
      <w:rPr>
        <w:b/>
      </w:rPr>
    </w:lvl>
    <w:lvl w:ilvl="1" w:tplc="467EA0A4">
      <w:start w:val="1"/>
      <w:numFmt w:val="lowerLetter"/>
      <w:lvlText w:val="%2."/>
      <w:lvlJc w:val="left"/>
      <w:pPr>
        <w:ind w:left="1530" w:hanging="360"/>
      </w:pPr>
      <w:rPr>
        <w:b/>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15:restartNumberingAfterBreak="0">
    <w:nsid w:val="0AAE760A"/>
    <w:multiLevelType w:val="hybridMultilevel"/>
    <w:tmpl w:val="6D6EA55E"/>
    <w:lvl w:ilvl="0" w:tplc="B68A6A32">
      <w:start w:val="1"/>
      <w:numFmt w:val="decimal"/>
      <w:lvlText w:val="[C%1]"/>
      <w:lvlJc w:val="left"/>
      <w:pPr>
        <w:ind w:left="648"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155E5"/>
    <w:multiLevelType w:val="multilevel"/>
    <w:tmpl w:val="6D6EA55E"/>
    <w:styleLink w:val="CurrentList2"/>
    <w:lvl w:ilvl="0">
      <w:start w:val="1"/>
      <w:numFmt w:val="decimal"/>
      <w:lvlText w:val="[C%1]"/>
      <w:lvlJc w:val="left"/>
      <w:pPr>
        <w:ind w:left="648" w:hanging="360"/>
      </w:pPr>
      <w:rPr>
        <w:rFonts w:hint="default"/>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BC4309"/>
    <w:multiLevelType w:val="hybridMultilevel"/>
    <w:tmpl w:val="FAA09624"/>
    <w:lvl w:ilvl="0" w:tplc="0CEC0206">
      <w:start w:val="1"/>
      <w:numFmt w:val="decimal"/>
      <w:lvlText w:val="[J%1]"/>
      <w:lvlJc w:val="left"/>
      <w:pPr>
        <w:ind w:left="648"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12C3B"/>
    <w:multiLevelType w:val="multilevel"/>
    <w:tmpl w:val="8AFC49CE"/>
    <w:styleLink w:val="CurrentList1"/>
    <w:lvl w:ilvl="0">
      <w:start w:val="1"/>
      <w:numFmt w:val="decimal"/>
      <w:lvlText w:val="[R%1]"/>
      <w:lvlJc w:val="left"/>
      <w:pPr>
        <w:ind w:left="2160" w:hanging="360"/>
      </w:pPr>
      <w:rPr>
        <w:rFonts w:hint="default"/>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AE4BBD"/>
    <w:multiLevelType w:val="hybridMultilevel"/>
    <w:tmpl w:val="A9D86AB4"/>
    <w:lvl w:ilvl="0" w:tplc="953C999E">
      <w:start w:val="1"/>
      <w:numFmt w:val="decimal"/>
      <w:lvlText w:val="%1-"/>
      <w:lvlJc w:val="left"/>
      <w:pPr>
        <w:ind w:left="648" w:hanging="360"/>
      </w:pPr>
      <w:rPr>
        <w:rFonts w:hint="default"/>
        <w:b/>
        <w:i w:val="0"/>
        <w:iCs/>
      </w:rPr>
    </w:lvl>
    <w:lvl w:ilvl="1" w:tplc="DCBCB806">
      <w:numFmt w:val="bullet"/>
      <w:lvlText w:val="•"/>
      <w:lvlJc w:val="left"/>
      <w:pPr>
        <w:ind w:left="1368" w:hanging="360"/>
      </w:pPr>
      <w:rPr>
        <w:rFonts w:ascii="Arial" w:eastAsiaTheme="minorHAnsi" w:hAnsi="Arial" w:cs="Arial"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30881B30"/>
    <w:multiLevelType w:val="hybridMultilevel"/>
    <w:tmpl w:val="890AE8CC"/>
    <w:lvl w:ilvl="0" w:tplc="04090001">
      <w:start w:val="1"/>
      <w:numFmt w:val="bullet"/>
      <w:lvlText w:val=""/>
      <w:lvlJc w:val="left"/>
      <w:pPr>
        <w:ind w:left="12132" w:hanging="360"/>
      </w:pPr>
      <w:rPr>
        <w:rFonts w:ascii="Symbol" w:hAnsi="Symbol" w:hint="default"/>
      </w:rPr>
    </w:lvl>
    <w:lvl w:ilvl="1" w:tplc="04090003" w:tentative="1">
      <w:start w:val="1"/>
      <w:numFmt w:val="bullet"/>
      <w:lvlText w:val="o"/>
      <w:lvlJc w:val="left"/>
      <w:pPr>
        <w:ind w:left="12852" w:hanging="360"/>
      </w:pPr>
      <w:rPr>
        <w:rFonts w:ascii="Courier New" w:hAnsi="Courier New" w:cs="Courier New" w:hint="default"/>
      </w:rPr>
    </w:lvl>
    <w:lvl w:ilvl="2" w:tplc="04090005" w:tentative="1">
      <w:start w:val="1"/>
      <w:numFmt w:val="bullet"/>
      <w:lvlText w:val=""/>
      <w:lvlJc w:val="left"/>
      <w:pPr>
        <w:ind w:left="13572" w:hanging="360"/>
      </w:pPr>
      <w:rPr>
        <w:rFonts w:ascii="Wingdings" w:hAnsi="Wingdings" w:hint="default"/>
      </w:rPr>
    </w:lvl>
    <w:lvl w:ilvl="3" w:tplc="04090001" w:tentative="1">
      <w:start w:val="1"/>
      <w:numFmt w:val="bullet"/>
      <w:lvlText w:val=""/>
      <w:lvlJc w:val="left"/>
      <w:pPr>
        <w:ind w:left="14292" w:hanging="360"/>
      </w:pPr>
      <w:rPr>
        <w:rFonts w:ascii="Symbol" w:hAnsi="Symbol" w:hint="default"/>
      </w:rPr>
    </w:lvl>
    <w:lvl w:ilvl="4" w:tplc="04090003" w:tentative="1">
      <w:start w:val="1"/>
      <w:numFmt w:val="bullet"/>
      <w:lvlText w:val="o"/>
      <w:lvlJc w:val="left"/>
      <w:pPr>
        <w:ind w:left="15012" w:hanging="360"/>
      </w:pPr>
      <w:rPr>
        <w:rFonts w:ascii="Courier New" w:hAnsi="Courier New" w:cs="Courier New" w:hint="default"/>
      </w:rPr>
    </w:lvl>
    <w:lvl w:ilvl="5" w:tplc="04090005" w:tentative="1">
      <w:start w:val="1"/>
      <w:numFmt w:val="bullet"/>
      <w:lvlText w:val=""/>
      <w:lvlJc w:val="left"/>
      <w:pPr>
        <w:ind w:left="15732" w:hanging="360"/>
      </w:pPr>
      <w:rPr>
        <w:rFonts w:ascii="Wingdings" w:hAnsi="Wingdings" w:hint="default"/>
      </w:rPr>
    </w:lvl>
    <w:lvl w:ilvl="6" w:tplc="04090001" w:tentative="1">
      <w:start w:val="1"/>
      <w:numFmt w:val="bullet"/>
      <w:lvlText w:val=""/>
      <w:lvlJc w:val="left"/>
      <w:pPr>
        <w:ind w:left="16452" w:hanging="360"/>
      </w:pPr>
      <w:rPr>
        <w:rFonts w:ascii="Symbol" w:hAnsi="Symbol" w:hint="default"/>
      </w:rPr>
    </w:lvl>
    <w:lvl w:ilvl="7" w:tplc="04090003" w:tentative="1">
      <w:start w:val="1"/>
      <w:numFmt w:val="bullet"/>
      <w:lvlText w:val="o"/>
      <w:lvlJc w:val="left"/>
      <w:pPr>
        <w:ind w:left="17172" w:hanging="360"/>
      </w:pPr>
      <w:rPr>
        <w:rFonts w:ascii="Courier New" w:hAnsi="Courier New" w:cs="Courier New" w:hint="default"/>
      </w:rPr>
    </w:lvl>
    <w:lvl w:ilvl="8" w:tplc="04090005" w:tentative="1">
      <w:start w:val="1"/>
      <w:numFmt w:val="bullet"/>
      <w:lvlText w:val=""/>
      <w:lvlJc w:val="left"/>
      <w:pPr>
        <w:ind w:left="17892" w:hanging="360"/>
      </w:pPr>
      <w:rPr>
        <w:rFonts w:ascii="Wingdings" w:hAnsi="Wingdings" w:hint="default"/>
      </w:rPr>
    </w:lvl>
  </w:abstractNum>
  <w:abstractNum w:abstractNumId="8" w15:restartNumberingAfterBreak="0">
    <w:nsid w:val="42A748FA"/>
    <w:multiLevelType w:val="hybridMultilevel"/>
    <w:tmpl w:val="4FFCF394"/>
    <w:lvl w:ilvl="0" w:tplc="257662E6">
      <w:start w:val="1"/>
      <w:numFmt w:val="upperRoman"/>
      <w:pStyle w:val="Heading1"/>
      <w:lvlText w:val="%1."/>
      <w:lvlJc w:val="right"/>
      <w:pPr>
        <w:ind w:left="720" w:hanging="360"/>
      </w:pPr>
    </w:lvl>
    <w:lvl w:ilvl="1" w:tplc="04A201C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24E49"/>
    <w:multiLevelType w:val="hybridMultilevel"/>
    <w:tmpl w:val="FAA09624"/>
    <w:lvl w:ilvl="0" w:tplc="0CEC0206">
      <w:start w:val="1"/>
      <w:numFmt w:val="decimal"/>
      <w:lvlText w:val="[J%1]"/>
      <w:lvlJc w:val="left"/>
      <w:pPr>
        <w:ind w:left="648"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3E0978"/>
    <w:multiLevelType w:val="hybridMultilevel"/>
    <w:tmpl w:val="910C0190"/>
    <w:lvl w:ilvl="0" w:tplc="2D94D8D0">
      <w:start w:val="1"/>
      <w:numFmt w:val="bullet"/>
      <w:pStyle w:val="ListParagraph"/>
      <w:lvlText w:val="-"/>
      <w:lvlJc w:val="left"/>
      <w:pPr>
        <w:ind w:left="648" w:hanging="360"/>
      </w:pPr>
      <w:rPr>
        <w:rFonts w:ascii="Arial" w:eastAsiaTheme="minorHAnsi" w:hAnsi="Arial" w:cs="Aria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1"/>
  </w:num>
  <w:num w:numId="2">
    <w:abstractNumId w:val="8"/>
  </w:num>
  <w:num w:numId="3">
    <w:abstractNumId w:val="10"/>
  </w:num>
  <w:num w:numId="4">
    <w:abstractNumId w:val="6"/>
  </w:num>
  <w:num w:numId="5">
    <w:abstractNumId w:val="9"/>
  </w:num>
  <w:num w:numId="6">
    <w:abstractNumId w:val="5"/>
  </w:num>
  <w:num w:numId="7">
    <w:abstractNumId w:val="2"/>
  </w:num>
  <w:num w:numId="8">
    <w:abstractNumId w:val="3"/>
  </w:num>
  <w:num w:numId="9">
    <w:abstractNumId w:val="4"/>
  </w:num>
  <w:num w:numId="10">
    <w:abstractNumId w:val="7"/>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30C"/>
    <w:rsid w:val="00002990"/>
    <w:rsid w:val="00007B86"/>
    <w:rsid w:val="00007C34"/>
    <w:rsid w:val="000104BC"/>
    <w:rsid w:val="00011DB8"/>
    <w:rsid w:val="00014731"/>
    <w:rsid w:val="00015C22"/>
    <w:rsid w:val="000169B8"/>
    <w:rsid w:val="000175A0"/>
    <w:rsid w:val="000179C5"/>
    <w:rsid w:val="00017C1C"/>
    <w:rsid w:val="0002143D"/>
    <w:rsid w:val="00026E46"/>
    <w:rsid w:val="00032549"/>
    <w:rsid w:val="00032B79"/>
    <w:rsid w:val="00032D1D"/>
    <w:rsid w:val="00033145"/>
    <w:rsid w:val="00040EEB"/>
    <w:rsid w:val="0004159F"/>
    <w:rsid w:val="00043B4D"/>
    <w:rsid w:val="00047737"/>
    <w:rsid w:val="0005430E"/>
    <w:rsid w:val="00055BDF"/>
    <w:rsid w:val="00056701"/>
    <w:rsid w:val="000568F8"/>
    <w:rsid w:val="000605E4"/>
    <w:rsid w:val="00062887"/>
    <w:rsid w:val="00065BDA"/>
    <w:rsid w:val="00065DBA"/>
    <w:rsid w:val="000666A8"/>
    <w:rsid w:val="00071105"/>
    <w:rsid w:val="00072CA4"/>
    <w:rsid w:val="00076117"/>
    <w:rsid w:val="0007627F"/>
    <w:rsid w:val="000919D3"/>
    <w:rsid w:val="000948AF"/>
    <w:rsid w:val="00095AF1"/>
    <w:rsid w:val="000A1D7F"/>
    <w:rsid w:val="000A222C"/>
    <w:rsid w:val="000A3B5F"/>
    <w:rsid w:val="000A672D"/>
    <w:rsid w:val="000A7620"/>
    <w:rsid w:val="000B5487"/>
    <w:rsid w:val="000B5ACC"/>
    <w:rsid w:val="000C1C5F"/>
    <w:rsid w:val="000C1DD1"/>
    <w:rsid w:val="000C2F9A"/>
    <w:rsid w:val="000C4BB5"/>
    <w:rsid w:val="000C6F2B"/>
    <w:rsid w:val="000C72E5"/>
    <w:rsid w:val="000D195E"/>
    <w:rsid w:val="000D52C3"/>
    <w:rsid w:val="000D555A"/>
    <w:rsid w:val="000E25C3"/>
    <w:rsid w:val="000E3233"/>
    <w:rsid w:val="000E3343"/>
    <w:rsid w:val="000E486C"/>
    <w:rsid w:val="000E562A"/>
    <w:rsid w:val="000E588A"/>
    <w:rsid w:val="000E7BCC"/>
    <w:rsid w:val="000F2434"/>
    <w:rsid w:val="000F265F"/>
    <w:rsid w:val="000F4EC9"/>
    <w:rsid w:val="000F56B3"/>
    <w:rsid w:val="0010065F"/>
    <w:rsid w:val="00102E70"/>
    <w:rsid w:val="00103C82"/>
    <w:rsid w:val="0011132F"/>
    <w:rsid w:val="00114F80"/>
    <w:rsid w:val="00115112"/>
    <w:rsid w:val="00117A9E"/>
    <w:rsid w:val="00122C13"/>
    <w:rsid w:val="0012500B"/>
    <w:rsid w:val="00132715"/>
    <w:rsid w:val="00133E53"/>
    <w:rsid w:val="001352C9"/>
    <w:rsid w:val="00142B7E"/>
    <w:rsid w:val="001438B0"/>
    <w:rsid w:val="001444D6"/>
    <w:rsid w:val="00145DD7"/>
    <w:rsid w:val="001508C2"/>
    <w:rsid w:val="0015132A"/>
    <w:rsid w:val="00151E63"/>
    <w:rsid w:val="00152AEB"/>
    <w:rsid w:val="00153924"/>
    <w:rsid w:val="00153B83"/>
    <w:rsid w:val="00155CA3"/>
    <w:rsid w:val="00155ED7"/>
    <w:rsid w:val="00160062"/>
    <w:rsid w:val="00160221"/>
    <w:rsid w:val="0016345B"/>
    <w:rsid w:val="00164371"/>
    <w:rsid w:val="001704E3"/>
    <w:rsid w:val="00170DED"/>
    <w:rsid w:val="0017110A"/>
    <w:rsid w:val="00171806"/>
    <w:rsid w:val="00171D78"/>
    <w:rsid w:val="0017573B"/>
    <w:rsid w:val="00182CD7"/>
    <w:rsid w:val="00182F7B"/>
    <w:rsid w:val="001832DF"/>
    <w:rsid w:val="001872C3"/>
    <w:rsid w:val="00187811"/>
    <w:rsid w:val="00187FF4"/>
    <w:rsid w:val="00191A62"/>
    <w:rsid w:val="001937EC"/>
    <w:rsid w:val="001A7804"/>
    <w:rsid w:val="001B121B"/>
    <w:rsid w:val="001B5282"/>
    <w:rsid w:val="001C0125"/>
    <w:rsid w:val="001C0E7E"/>
    <w:rsid w:val="001C2090"/>
    <w:rsid w:val="001C3D73"/>
    <w:rsid w:val="001C4679"/>
    <w:rsid w:val="001C7D82"/>
    <w:rsid w:val="001D00DA"/>
    <w:rsid w:val="001D09DC"/>
    <w:rsid w:val="001D0B8F"/>
    <w:rsid w:val="001D2488"/>
    <w:rsid w:val="001D2AED"/>
    <w:rsid w:val="001D460E"/>
    <w:rsid w:val="001D4C54"/>
    <w:rsid w:val="001D5996"/>
    <w:rsid w:val="001E0C4F"/>
    <w:rsid w:val="001E10DB"/>
    <w:rsid w:val="001E3965"/>
    <w:rsid w:val="001E5EFB"/>
    <w:rsid w:val="001E6C3A"/>
    <w:rsid w:val="001F00FA"/>
    <w:rsid w:val="001F18D8"/>
    <w:rsid w:val="001F2D7E"/>
    <w:rsid w:val="001F7867"/>
    <w:rsid w:val="001F7F5F"/>
    <w:rsid w:val="00204348"/>
    <w:rsid w:val="00205406"/>
    <w:rsid w:val="00207060"/>
    <w:rsid w:val="0021463D"/>
    <w:rsid w:val="00215A07"/>
    <w:rsid w:val="00215F30"/>
    <w:rsid w:val="0021728C"/>
    <w:rsid w:val="00217FB7"/>
    <w:rsid w:val="0022008B"/>
    <w:rsid w:val="00221A72"/>
    <w:rsid w:val="00226B68"/>
    <w:rsid w:val="00227028"/>
    <w:rsid w:val="00227995"/>
    <w:rsid w:val="00230BEC"/>
    <w:rsid w:val="0023232F"/>
    <w:rsid w:val="00233D7B"/>
    <w:rsid w:val="0023431E"/>
    <w:rsid w:val="0023452B"/>
    <w:rsid w:val="00237016"/>
    <w:rsid w:val="00241166"/>
    <w:rsid w:val="0024146C"/>
    <w:rsid w:val="0024249C"/>
    <w:rsid w:val="00243932"/>
    <w:rsid w:val="002467E6"/>
    <w:rsid w:val="0025576F"/>
    <w:rsid w:val="002566CF"/>
    <w:rsid w:val="00256BB0"/>
    <w:rsid w:val="00260AA1"/>
    <w:rsid w:val="00262048"/>
    <w:rsid w:val="00263F0C"/>
    <w:rsid w:val="0026432B"/>
    <w:rsid w:val="00264799"/>
    <w:rsid w:val="00264C86"/>
    <w:rsid w:val="00267727"/>
    <w:rsid w:val="00267FC0"/>
    <w:rsid w:val="00270D39"/>
    <w:rsid w:val="00272E8E"/>
    <w:rsid w:val="00275944"/>
    <w:rsid w:val="00275C63"/>
    <w:rsid w:val="00275C7D"/>
    <w:rsid w:val="00276A76"/>
    <w:rsid w:val="0027706F"/>
    <w:rsid w:val="00277F74"/>
    <w:rsid w:val="00282A71"/>
    <w:rsid w:val="0028354C"/>
    <w:rsid w:val="00283FFD"/>
    <w:rsid w:val="002844D3"/>
    <w:rsid w:val="00284A31"/>
    <w:rsid w:val="00285A3A"/>
    <w:rsid w:val="00286017"/>
    <w:rsid w:val="002932A9"/>
    <w:rsid w:val="0029420F"/>
    <w:rsid w:val="0029444D"/>
    <w:rsid w:val="00295751"/>
    <w:rsid w:val="002A06A1"/>
    <w:rsid w:val="002A2277"/>
    <w:rsid w:val="002A6711"/>
    <w:rsid w:val="002B0ADE"/>
    <w:rsid w:val="002C32F6"/>
    <w:rsid w:val="002C6F76"/>
    <w:rsid w:val="002D00E7"/>
    <w:rsid w:val="002D0C00"/>
    <w:rsid w:val="002D293A"/>
    <w:rsid w:val="002D4BE0"/>
    <w:rsid w:val="002D512C"/>
    <w:rsid w:val="002D7801"/>
    <w:rsid w:val="002E077F"/>
    <w:rsid w:val="002E0821"/>
    <w:rsid w:val="002E2ECD"/>
    <w:rsid w:val="002E48EB"/>
    <w:rsid w:val="002E6333"/>
    <w:rsid w:val="002E67F5"/>
    <w:rsid w:val="002F3558"/>
    <w:rsid w:val="002F4996"/>
    <w:rsid w:val="002F4C7F"/>
    <w:rsid w:val="002F796B"/>
    <w:rsid w:val="00301E94"/>
    <w:rsid w:val="00302052"/>
    <w:rsid w:val="003044B2"/>
    <w:rsid w:val="00311359"/>
    <w:rsid w:val="00312157"/>
    <w:rsid w:val="00312F58"/>
    <w:rsid w:val="0031478D"/>
    <w:rsid w:val="00315726"/>
    <w:rsid w:val="00316223"/>
    <w:rsid w:val="00317091"/>
    <w:rsid w:val="003227A5"/>
    <w:rsid w:val="00324798"/>
    <w:rsid w:val="00324903"/>
    <w:rsid w:val="003318DB"/>
    <w:rsid w:val="0033370B"/>
    <w:rsid w:val="003363F1"/>
    <w:rsid w:val="00336560"/>
    <w:rsid w:val="00337B88"/>
    <w:rsid w:val="00337C85"/>
    <w:rsid w:val="003412D9"/>
    <w:rsid w:val="00342742"/>
    <w:rsid w:val="00343C20"/>
    <w:rsid w:val="00346356"/>
    <w:rsid w:val="00355633"/>
    <w:rsid w:val="00356E94"/>
    <w:rsid w:val="00361488"/>
    <w:rsid w:val="00362DC6"/>
    <w:rsid w:val="00363E8D"/>
    <w:rsid w:val="0036403D"/>
    <w:rsid w:val="0036495F"/>
    <w:rsid w:val="00370879"/>
    <w:rsid w:val="00373B09"/>
    <w:rsid w:val="003762C8"/>
    <w:rsid w:val="00377584"/>
    <w:rsid w:val="00380B68"/>
    <w:rsid w:val="00382AC4"/>
    <w:rsid w:val="003838B4"/>
    <w:rsid w:val="003856C7"/>
    <w:rsid w:val="003859B1"/>
    <w:rsid w:val="00390BF2"/>
    <w:rsid w:val="00393824"/>
    <w:rsid w:val="00393B5A"/>
    <w:rsid w:val="00394A00"/>
    <w:rsid w:val="00395704"/>
    <w:rsid w:val="003957F1"/>
    <w:rsid w:val="00397E76"/>
    <w:rsid w:val="003A0FCA"/>
    <w:rsid w:val="003B161E"/>
    <w:rsid w:val="003C0EB3"/>
    <w:rsid w:val="003C2189"/>
    <w:rsid w:val="003C5067"/>
    <w:rsid w:val="003D068F"/>
    <w:rsid w:val="003D1172"/>
    <w:rsid w:val="003D31C5"/>
    <w:rsid w:val="003E408D"/>
    <w:rsid w:val="003E5F98"/>
    <w:rsid w:val="003F09F9"/>
    <w:rsid w:val="003F16EB"/>
    <w:rsid w:val="003F1A90"/>
    <w:rsid w:val="003F22CE"/>
    <w:rsid w:val="003F37F3"/>
    <w:rsid w:val="003F49B9"/>
    <w:rsid w:val="003F49C6"/>
    <w:rsid w:val="00403C24"/>
    <w:rsid w:val="004060E7"/>
    <w:rsid w:val="0040640B"/>
    <w:rsid w:val="0041181C"/>
    <w:rsid w:val="00412FF1"/>
    <w:rsid w:val="00414149"/>
    <w:rsid w:val="00423ADA"/>
    <w:rsid w:val="00423FF3"/>
    <w:rsid w:val="00424395"/>
    <w:rsid w:val="00424CA7"/>
    <w:rsid w:val="00425F4A"/>
    <w:rsid w:val="00426F64"/>
    <w:rsid w:val="004278F7"/>
    <w:rsid w:val="00433026"/>
    <w:rsid w:val="00437F3E"/>
    <w:rsid w:val="004401FB"/>
    <w:rsid w:val="00442D46"/>
    <w:rsid w:val="00443947"/>
    <w:rsid w:val="00443F03"/>
    <w:rsid w:val="004443C9"/>
    <w:rsid w:val="00445323"/>
    <w:rsid w:val="00447A94"/>
    <w:rsid w:val="00451A8C"/>
    <w:rsid w:val="004524FE"/>
    <w:rsid w:val="0045367C"/>
    <w:rsid w:val="00456975"/>
    <w:rsid w:val="004622B1"/>
    <w:rsid w:val="0046237F"/>
    <w:rsid w:val="004640BF"/>
    <w:rsid w:val="00464ACC"/>
    <w:rsid w:val="004666B7"/>
    <w:rsid w:val="00474F85"/>
    <w:rsid w:val="00475830"/>
    <w:rsid w:val="00484FCF"/>
    <w:rsid w:val="004879E0"/>
    <w:rsid w:val="00490471"/>
    <w:rsid w:val="00490C71"/>
    <w:rsid w:val="00492BF2"/>
    <w:rsid w:val="0049444D"/>
    <w:rsid w:val="004B3684"/>
    <w:rsid w:val="004B4F02"/>
    <w:rsid w:val="004B558A"/>
    <w:rsid w:val="004B6D04"/>
    <w:rsid w:val="004B7A54"/>
    <w:rsid w:val="004C0378"/>
    <w:rsid w:val="004C077B"/>
    <w:rsid w:val="004C0B1A"/>
    <w:rsid w:val="004C0DCD"/>
    <w:rsid w:val="004C2ED1"/>
    <w:rsid w:val="004C4440"/>
    <w:rsid w:val="004C6C13"/>
    <w:rsid w:val="004C7088"/>
    <w:rsid w:val="004C722C"/>
    <w:rsid w:val="004D02B7"/>
    <w:rsid w:val="004E553E"/>
    <w:rsid w:val="004F157A"/>
    <w:rsid w:val="004F3DC8"/>
    <w:rsid w:val="004F483D"/>
    <w:rsid w:val="004F7E3F"/>
    <w:rsid w:val="00500499"/>
    <w:rsid w:val="00500828"/>
    <w:rsid w:val="00503A1C"/>
    <w:rsid w:val="005056F4"/>
    <w:rsid w:val="00506A99"/>
    <w:rsid w:val="0050765F"/>
    <w:rsid w:val="00510D80"/>
    <w:rsid w:val="00513AE8"/>
    <w:rsid w:val="00514641"/>
    <w:rsid w:val="00514B36"/>
    <w:rsid w:val="00517FA0"/>
    <w:rsid w:val="005204FD"/>
    <w:rsid w:val="005210B9"/>
    <w:rsid w:val="005215CA"/>
    <w:rsid w:val="005304F0"/>
    <w:rsid w:val="00530D94"/>
    <w:rsid w:val="00531810"/>
    <w:rsid w:val="0053264B"/>
    <w:rsid w:val="005426F3"/>
    <w:rsid w:val="0054324A"/>
    <w:rsid w:val="0054474D"/>
    <w:rsid w:val="00551881"/>
    <w:rsid w:val="00554B0B"/>
    <w:rsid w:val="00557165"/>
    <w:rsid w:val="00560AE7"/>
    <w:rsid w:val="005635C3"/>
    <w:rsid w:val="00564256"/>
    <w:rsid w:val="00575D0A"/>
    <w:rsid w:val="00576206"/>
    <w:rsid w:val="00576E1D"/>
    <w:rsid w:val="005806E3"/>
    <w:rsid w:val="00580F1E"/>
    <w:rsid w:val="005859FC"/>
    <w:rsid w:val="00585BEC"/>
    <w:rsid w:val="00590070"/>
    <w:rsid w:val="005902A4"/>
    <w:rsid w:val="005934EE"/>
    <w:rsid w:val="0059490A"/>
    <w:rsid w:val="00597A60"/>
    <w:rsid w:val="005A0FB4"/>
    <w:rsid w:val="005A2D47"/>
    <w:rsid w:val="005A450E"/>
    <w:rsid w:val="005A55B8"/>
    <w:rsid w:val="005A7CA2"/>
    <w:rsid w:val="005B1FC1"/>
    <w:rsid w:val="005B4984"/>
    <w:rsid w:val="005B4A4B"/>
    <w:rsid w:val="005B53BC"/>
    <w:rsid w:val="005B568F"/>
    <w:rsid w:val="005B6716"/>
    <w:rsid w:val="005C2A8A"/>
    <w:rsid w:val="005C3E25"/>
    <w:rsid w:val="005C5458"/>
    <w:rsid w:val="005C7538"/>
    <w:rsid w:val="005D0415"/>
    <w:rsid w:val="005D1A54"/>
    <w:rsid w:val="005D3C96"/>
    <w:rsid w:val="005D68E7"/>
    <w:rsid w:val="005E0F25"/>
    <w:rsid w:val="005E2959"/>
    <w:rsid w:val="005F56AB"/>
    <w:rsid w:val="00600BE3"/>
    <w:rsid w:val="00600E0A"/>
    <w:rsid w:val="00606889"/>
    <w:rsid w:val="00606D0B"/>
    <w:rsid w:val="00614CB3"/>
    <w:rsid w:val="00620D3A"/>
    <w:rsid w:val="00624D08"/>
    <w:rsid w:val="00626484"/>
    <w:rsid w:val="00626A6A"/>
    <w:rsid w:val="006276D4"/>
    <w:rsid w:val="00630714"/>
    <w:rsid w:val="00631A20"/>
    <w:rsid w:val="0063420D"/>
    <w:rsid w:val="006362EF"/>
    <w:rsid w:val="00644C6B"/>
    <w:rsid w:val="006458D1"/>
    <w:rsid w:val="00645EC6"/>
    <w:rsid w:val="00646222"/>
    <w:rsid w:val="00647DF1"/>
    <w:rsid w:val="006536E4"/>
    <w:rsid w:val="00653AE8"/>
    <w:rsid w:val="00653F12"/>
    <w:rsid w:val="00660D2D"/>
    <w:rsid w:val="00664C5F"/>
    <w:rsid w:val="0066602D"/>
    <w:rsid w:val="006668A9"/>
    <w:rsid w:val="00667DEA"/>
    <w:rsid w:val="00671A7D"/>
    <w:rsid w:val="006755AB"/>
    <w:rsid w:val="00675E3C"/>
    <w:rsid w:val="0068063B"/>
    <w:rsid w:val="00682BA0"/>
    <w:rsid w:val="0068685A"/>
    <w:rsid w:val="00690370"/>
    <w:rsid w:val="006922CB"/>
    <w:rsid w:val="006978AC"/>
    <w:rsid w:val="006A20D4"/>
    <w:rsid w:val="006A48B4"/>
    <w:rsid w:val="006A5048"/>
    <w:rsid w:val="006A56FA"/>
    <w:rsid w:val="006B351B"/>
    <w:rsid w:val="006B6371"/>
    <w:rsid w:val="006C530C"/>
    <w:rsid w:val="006C573B"/>
    <w:rsid w:val="006D0DF9"/>
    <w:rsid w:val="006D3D66"/>
    <w:rsid w:val="006D7C27"/>
    <w:rsid w:val="006E0CA8"/>
    <w:rsid w:val="006E18D8"/>
    <w:rsid w:val="006E2908"/>
    <w:rsid w:val="006E46FE"/>
    <w:rsid w:val="006E5EDE"/>
    <w:rsid w:val="006E666D"/>
    <w:rsid w:val="006F02B9"/>
    <w:rsid w:val="006F1258"/>
    <w:rsid w:val="00701DF7"/>
    <w:rsid w:val="00702710"/>
    <w:rsid w:val="00703C1E"/>
    <w:rsid w:val="0070549A"/>
    <w:rsid w:val="00711E38"/>
    <w:rsid w:val="00712C5E"/>
    <w:rsid w:val="007157D8"/>
    <w:rsid w:val="00716798"/>
    <w:rsid w:val="00717B77"/>
    <w:rsid w:val="00717CF8"/>
    <w:rsid w:val="00717FD6"/>
    <w:rsid w:val="007224AC"/>
    <w:rsid w:val="00723DA6"/>
    <w:rsid w:val="00725E2B"/>
    <w:rsid w:val="00726913"/>
    <w:rsid w:val="00726F2E"/>
    <w:rsid w:val="0072798F"/>
    <w:rsid w:val="00730F03"/>
    <w:rsid w:val="007311F7"/>
    <w:rsid w:val="00732465"/>
    <w:rsid w:val="00741208"/>
    <w:rsid w:val="00744942"/>
    <w:rsid w:val="00744DBC"/>
    <w:rsid w:val="00745A54"/>
    <w:rsid w:val="00746383"/>
    <w:rsid w:val="00747A5B"/>
    <w:rsid w:val="007563C9"/>
    <w:rsid w:val="007572B1"/>
    <w:rsid w:val="00761D8A"/>
    <w:rsid w:val="007648CE"/>
    <w:rsid w:val="00764901"/>
    <w:rsid w:val="00764B31"/>
    <w:rsid w:val="00764BDB"/>
    <w:rsid w:val="00767C86"/>
    <w:rsid w:val="00772C50"/>
    <w:rsid w:val="00775201"/>
    <w:rsid w:val="00775E0C"/>
    <w:rsid w:val="00777885"/>
    <w:rsid w:val="00777B8C"/>
    <w:rsid w:val="00777E9E"/>
    <w:rsid w:val="00786536"/>
    <w:rsid w:val="00792051"/>
    <w:rsid w:val="00796C97"/>
    <w:rsid w:val="007A04F0"/>
    <w:rsid w:val="007A057A"/>
    <w:rsid w:val="007A394F"/>
    <w:rsid w:val="007A6962"/>
    <w:rsid w:val="007A72F9"/>
    <w:rsid w:val="007B2320"/>
    <w:rsid w:val="007B45F4"/>
    <w:rsid w:val="007B56D7"/>
    <w:rsid w:val="007C052E"/>
    <w:rsid w:val="007C0998"/>
    <w:rsid w:val="007C495F"/>
    <w:rsid w:val="007C4972"/>
    <w:rsid w:val="007C4D8C"/>
    <w:rsid w:val="007C4F61"/>
    <w:rsid w:val="007C6FE3"/>
    <w:rsid w:val="007D0616"/>
    <w:rsid w:val="007D1CDE"/>
    <w:rsid w:val="007D2D01"/>
    <w:rsid w:val="007D38C6"/>
    <w:rsid w:val="007D44EA"/>
    <w:rsid w:val="007D741A"/>
    <w:rsid w:val="007E04A2"/>
    <w:rsid w:val="007E3016"/>
    <w:rsid w:val="007E3208"/>
    <w:rsid w:val="007E372E"/>
    <w:rsid w:val="007E3CA6"/>
    <w:rsid w:val="007F062F"/>
    <w:rsid w:val="007F0725"/>
    <w:rsid w:val="007F1700"/>
    <w:rsid w:val="007F34D4"/>
    <w:rsid w:val="007F43EE"/>
    <w:rsid w:val="007F5C14"/>
    <w:rsid w:val="007F5D14"/>
    <w:rsid w:val="0080324F"/>
    <w:rsid w:val="008052A0"/>
    <w:rsid w:val="0080581D"/>
    <w:rsid w:val="008107FE"/>
    <w:rsid w:val="00810C63"/>
    <w:rsid w:val="00810E2B"/>
    <w:rsid w:val="0081538C"/>
    <w:rsid w:val="00817034"/>
    <w:rsid w:val="00821C7D"/>
    <w:rsid w:val="00822606"/>
    <w:rsid w:val="00825049"/>
    <w:rsid w:val="00833F83"/>
    <w:rsid w:val="00836A5F"/>
    <w:rsid w:val="00843F5F"/>
    <w:rsid w:val="00845008"/>
    <w:rsid w:val="00845FD5"/>
    <w:rsid w:val="00847F1F"/>
    <w:rsid w:val="008511F9"/>
    <w:rsid w:val="0085165F"/>
    <w:rsid w:val="00851CEF"/>
    <w:rsid w:val="00852B54"/>
    <w:rsid w:val="00855F48"/>
    <w:rsid w:val="0086175C"/>
    <w:rsid w:val="008643AA"/>
    <w:rsid w:val="0086580A"/>
    <w:rsid w:val="008679DD"/>
    <w:rsid w:val="008702D4"/>
    <w:rsid w:val="00873913"/>
    <w:rsid w:val="008764B1"/>
    <w:rsid w:val="00877A37"/>
    <w:rsid w:val="00877ABF"/>
    <w:rsid w:val="008824F4"/>
    <w:rsid w:val="00883D3A"/>
    <w:rsid w:val="00883F62"/>
    <w:rsid w:val="00884899"/>
    <w:rsid w:val="00887625"/>
    <w:rsid w:val="00890D00"/>
    <w:rsid w:val="00892893"/>
    <w:rsid w:val="008A0B34"/>
    <w:rsid w:val="008A15E4"/>
    <w:rsid w:val="008A2AE4"/>
    <w:rsid w:val="008A3F7C"/>
    <w:rsid w:val="008A4046"/>
    <w:rsid w:val="008A665E"/>
    <w:rsid w:val="008B01D6"/>
    <w:rsid w:val="008B1893"/>
    <w:rsid w:val="008B22C1"/>
    <w:rsid w:val="008B2EBF"/>
    <w:rsid w:val="008B34AB"/>
    <w:rsid w:val="008B4A72"/>
    <w:rsid w:val="008C1B72"/>
    <w:rsid w:val="008C3876"/>
    <w:rsid w:val="008C3E3C"/>
    <w:rsid w:val="008C593F"/>
    <w:rsid w:val="008C6202"/>
    <w:rsid w:val="008C73EF"/>
    <w:rsid w:val="008C7DB9"/>
    <w:rsid w:val="008D02B3"/>
    <w:rsid w:val="008D0820"/>
    <w:rsid w:val="008D2351"/>
    <w:rsid w:val="008D51CB"/>
    <w:rsid w:val="008D5C48"/>
    <w:rsid w:val="008E1CD2"/>
    <w:rsid w:val="008E2E65"/>
    <w:rsid w:val="008E4E11"/>
    <w:rsid w:val="008E5149"/>
    <w:rsid w:val="008E568B"/>
    <w:rsid w:val="008F4C13"/>
    <w:rsid w:val="008F5130"/>
    <w:rsid w:val="008F7951"/>
    <w:rsid w:val="009004C5"/>
    <w:rsid w:val="00906370"/>
    <w:rsid w:val="0091027D"/>
    <w:rsid w:val="0091214A"/>
    <w:rsid w:val="009133FD"/>
    <w:rsid w:val="00914962"/>
    <w:rsid w:val="0091507C"/>
    <w:rsid w:val="0091709A"/>
    <w:rsid w:val="00917809"/>
    <w:rsid w:val="00917E36"/>
    <w:rsid w:val="009204EE"/>
    <w:rsid w:val="0092195F"/>
    <w:rsid w:val="0092198B"/>
    <w:rsid w:val="00921F74"/>
    <w:rsid w:val="0092282D"/>
    <w:rsid w:val="00925312"/>
    <w:rsid w:val="009260D3"/>
    <w:rsid w:val="0093118C"/>
    <w:rsid w:val="009326E0"/>
    <w:rsid w:val="0093337D"/>
    <w:rsid w:val="00933937"/>
    <w:rsid w:val="00933D91"/>
    <w:rsid w:val="009344C8"/>
    <w:rsid w:val="009351C9"/>
    <w:rsid w:val="0093608E"/>
    <w:rsid w:val="0093705A"/>
    <w:rsid w:val="00937167"/>
    <w:rsid w:val="00941E07"/>
    <w:rsid w:val="009425B8"/>
    <w:rsid w:val="0094645C"/>
    <w:rsid w:val="00950FB6"/>
    <w:rsid w:val="00951906"/>
    <w:rsid w:val="009527FA"/>
    <w:rsid w:val="00955184"/>
    <w:rsid w:val="00957B7C"/>
    <w:rsid w:val="009616A8"/>
    <w:rsid w:val="0096301B"/>
    <w:rsid w:val="00967052"/>
    <w:rsid w:val="00967A32"/>
    <w:rsid w:val="0097159D"/>
    <w:rsid w:val="00971A73"/>
    <w:rsid w:val="0097554A"/>
    <w:rsid w:val="0097595C"/>
    <w:rsid w:val="00975DBA"/>
    <w:rsid w:val="00976145"/>
    <w:rsid w:val="00977022"/>
    <w:rsid w:val="009903CE"/>
    <w:rsid w:val="00991863"/>
    <w:rsid w:val="0099283A"/>
    <w:rsid w:val="00992FD5"/>
    <w:rsid w:val="00993669"/>
    <w:rsid w:val="00994329"/>
    <w:rsid w:val="0099474D"/>
    <w:rsid w:val="009965A3"/>
    <w:rsid w:val="009A415E"/>
    <w:rsid w:val="009A5604"/>
    <w:rsid w:val="009B2DDF"/>
    <w:rsid w:val="009B6C03"/>
    <w:rsid w:val="009C1E36"/>
    <w:rsid w:val="009C22DB"/>
    <w:rsid w:val="009C294F"/>
    <w:rsid w:val="009C2F46"/>
    <w:rsid w:val="009C3780"/>
    <w:rsid w:val="009C470F"/>
    <w:rsid w:val="009C5268"/>
    <w:rsid w:val="009C7003"/>
    <w:rsid w:val="009D0A5D"/>
    <w:rsid w:val="009D207F"/>
    <w:rsid w:val="009D767C"/>
    <w:rsid w:val="009E0DE4"/>
    <w:rsid w:val="009E1C84"/>
    <w:rsid w:val="009E2F22"/>
    <w:rsid w:val="009E3ADD"/>
    <w:rsid w:val="009E7261"/>
    <w:rsid w:val="009F4C29"/>
    <w:rsid w:val="00A0033A"/>
    <w:rsid w:val="00A01CCC"/>
    <w:rsid w:val="00A03263"/>
    <w:rsid w:val="00A03A97"/>
    <w:rsid w:val="00A06882"/>
    <w:rsid w:val="00A074B2"/>
    <w:rsid w:val="00A0776E"/>
    <w:rsid w:val="00A07CCF"/>
    <w:rsid w:val="00A165F3"/>
    <w:rsid w:val="00A22124"/>
    <w:rsid w:val="00A22B85"/>
    <w:rsid w:val="00A23921"/>
    <w:rsid w:val="00A262F3"/>
    <w:rsid w:val="00A273BC"/>
    <w:rsid w:val="00A27D46"/>
    <w:rsid w:val="00A31AF6"/>
    <w:rsid w:val="00A32765"/>
    <w:rsid w:val="00A3276E"/>
    <w:rsid w:val="00A32AFF"/>
    <w:rsid w:val="00A33174"/>
    <w:rsid w:val="00A33570"/>
    <w:rsid w:val="00A33BED"/>
    <w:rsid w:val="00A3552E"/>
    <w:rsid w:val="00A3630B"/>
    <w:rsid w:val="00A37CB9"/>
    <w:rsid w:val="00A37FC6"/>
    <w:rsid w:val="00A41ECB"/>
    <w:rsid w:val="00A4367E"/>
    <w:rsid w:val="00A46BF7"/>
    <w:rsid w:val="00A53702"/>
    <w:rsid w:val="00A53EDA"/>
    <w:rsid w:val="00A55872"/>
    <w:rsid w:val="00A56861"/>
    <w:rsid w:val="00A601FF"/>
    <w:rsid w:val="00A64014"/>
    <w:rsid w:val="00A64D10"/>
    <w:rsid w:val="00A7074D"/>
    <w:rsid w:val="00A74224"/>
    <w:rsid w:val="00A77E19"/>
    <w:rsid w:val="00A8185E"/>
    <w:rsid w:val="00A8302C"/>
    <w:rsid w:val="00A84F76"/>
    <w:rsid w:val="00A85EDE"/>
    <w:rsid w:val="00A90269"/>
    <w:rsid w:val="00A90FD5"/>
    <w:rsid w:val="00A91C73"/>
    <w:rsid w:val="00A921C6"/>
    <w:rsid w:val="00A96E7C"/>
    <w:rsid w:val="00A97CFB"/>
    <w:rsid w:val="00AA0F2B"/>
    <w:rsid w:val="00AA129A"/>
    <w:rsid w:val="00AA6192"/>
    <w:rsid w:val="00AA7D08"/>
    <w:rsid w:val="00AB05AE"/>
    <w:rsid w:val="00AB3752"/>
    <w:rsid w:val="00AC0C12"/>
    <w:rsid w:val="00AC2BEA"/>
    <w:rsid w:val="00AC514B"/>
    <w:rsid w:val="00AC6D97"/>
    <w:rsid w:val="00AC7A1F"/>
    <w:rsid w:val="00AC7EF2"/>
    <w:rsid w:val="00AD1209"/>
    <w:rsid w:val="00AD688A"/>
    <w:rsid w:val="00AE0B7B"/>
    <w:rsid w:val="00AE1E51"/>
    <w:rsid w:val="00AE1F27"/>
    <w:rsid w:val="00AE3304"/>
    <w:rsid w:val="00AE3D48"/>
    <w:rsid w:val="00AE6BAA"/>
    <w:rsid w:val="00AF20F8"/>
    <w:rsid w:val="00AF2440"/>
    <w:rsid w:val="00AF499B"/>
    <w:rsid w:val="00AF65DA"/>
    <w:rsid w:val="00AF66EA"/>
    <w:rsid w:val="00AF7E16"/>
    <w:rsid w:val="00B03A83"/>
    <w:rsid w:val="00B05012"/>
    <w:rsid w:val="00B1037A"/>
    <w:rsid w:val="00B104F2"/>
    <w:rsid w:val="00B11C81"/>
    <w:rsid w:val="00B11FC9"/>
    <w:rsid w:val="00B1364B"/>
    <w:rsid w:val="00B1773A"/>
    <w:rsid w:val="00B21E8A"/>
    <w:rsid w:val="00B23A0B"/>
    <w:rsid w:val="00B23EBD"/>
    <w:rsid w:val="00B242D8"/>
    <w:rsid w:val="00B31BDA"/>
    <w:rsid w:val="00B3571A"/>
    <w:rsid w:val="00B359AB"/>
    <w:rsid w:val="00B35B55"/>
    <w:rsid w:val="00B4150C"/>
    <w:rsid w:val="00B46805"/>
    <w:rsid w:val="00B51152"/>
    <w:rsid w:val="00B53C6B"/>
    <w:rsid w:val="00B57246"/>
    <w:rsid w:val="00B57765"/>
    <w:rsid w:val="00B62953"/>
    <w:rsid w:val="00B671CE"/>
    <w:rsid w:val="00B70403"/>
    <w:rsid w:val="00B70436"/>
    <w:rsid w:val="00B71171"/>
    <w:rsid w:val="00B7230B"/>
    <w:rsid w:val="00B7385A"/>
    <w:rsid w:val="00B8070A"/>
    <w:rsid w:val="00B8156B"/>
    <w:rsid w:val="00B965C7"/>
    <w:rsid w:val="00B97108"/>
    <w:rsid w:val="00BA4C99"/>
    <w:rsid w:val="00BA7F3B"/>
    <w:rsid w:val="00BB2731"/>
    <w:rsid w:val="00BB2A1E"/>
    <w:rsid w:val="00BB327D"/>
    <w:rsid w:val="00BB3841"/>
    <w:rsid w:val="00BB5337"/>
    <w:rsid w:val="00BB6473"/>
    <w:rsid w:val="00BC2688"/>
    <w:rsid w:val="00BC61FF"/>
    <w:rsid w:val="00BC70A5"/>
    <w:rsid w:val="00BC7EE6"/>
    <w:rsid w:val="00BD2734"/>
    <w:rsid w:val="00BD3948"/>
    <w:rsid w:val="00BD42DF"/>
    <w:rsid w:val="00BD594B"/>
    <w:rsid w:val="00BE1CA9"/>
    <w:rsid w:val="00BE1ED2"/>
    <w:rsid w:val="00BE5683"/>
    <w:rsid w:val="00BE5F67"/>
    <w:rsid w:val="00BE7320"/>
    <w:rsid w:val="00BF3CE3"/>
    <w:rsid w:val="00BF5AE9"/>
    <w:rsid w:val="00C03A68"/>
    <w:rsid w:val="00C0616C"/>
    <w:rsid w:val="00C06BFB"/>
    <w:rsid w:val="00C220E2"/>
    <w:rsid w:val="00C22A71"/>
    <w:rsid w:val="00C22A81"/>
    <w:rsid w:val="00C24038"/>
    <w:rsid w:val="00C24C1C"/>
    <w:rsid w:val="00C260DC"/>
    <w:rsid w:val="00C3062F"/>
    <w:rsid w:val="00C30DFC"/>
    <w:rsid w:val="00C31446"/>
    <w:rsid w:val="00C31527"/>
    <w:rsid w:val="00C32EBD"/>
    <w:rsid w:val="00C34F59"/>
    <w:rsid w:val="00C44FF6"/>
    <w:rsid w:val="00C502DE"/>
    <w:rsid w:val="00C506DB"/>
    <w:rsid w:val="00C524D1"/>
    <w:rsid w:val="00C53078"/>
    <w:rsid w:val="00C538D3"/>
    <w:rsid w:val="00C55EBE"/>
    <w:rsid w:val="00C57E0D"/>
    <w:rsid w:val="00C630FA"/>
    <w:rsid w:val="00C63933"/>
    <w:rsid w:val="00C63F4D"/>
    <w:rsid w:val="00C6447F"/>
    <w:rsid w:val="00C646F5"/>
    <w:rsid w:val="00C66E73"/>
    <w:rsid w:val="00C67249"/>
    <w:rsid w:val="00C6796B"/>
    <w:rsid w:val="00C67B31"/>
    <w:rsid w:val="00C72BB9"/>
    <w:rsid w:val="00C73D1A"/>
    <w:rsid w:val="00C7628D"/>
    <w:rsid w:val="00C77D27"/>
    <w:rsid w:val="00C81E22"/>
    <w:rsid w:val="00C82BDB"/>
    <w:rsid w:val="00C84ACF"/>
    <w:rsid w:val="00C84EFF"/>
    <w:rsid w:val="00C9188A"/>
    <w:rsid w:val="00C96FF6"/>
    <w:rsid w:val="00CA59FF"/>
    <w:rsid w:val="00CA7576"/>
    <w:rsid w:val="00CA7BE8"/>
    <w:rsid w:val="00CB0A03"/>
    <w:rsid w:val="00CB106B"/>
    <w:rsid w:val="00CB7285"/>
    <w:rsid w:val="00CB7A88"/>
    <w:rsid w:val="00CC1A7A"/>
    <w:rsid w:val="00CC25B9"/>
    <w:rsid w:val="00CC3264"/>
    <w:rsid w:val="00CC6882"/>
    <w:rsid w:val="00CD0565"/>
    <w:rsid w:val="00CD130F"/>
    <w:rsid w:val="00CD189F"/>
    <w:rsid w:val="00CD33B6"/>
    <w:rsid w:val="00CD34B9"/>
    <w:rsid w:val="00CD41C1"/>
    <w:rsid w:val="00CD5ED6"/>
    <w:rsid w:val="00CE1B0C"/>
    <w:rsid w:val="00CE492E"/>
    <w:rsid w:val="00CE5CD4"/>
    <w:rsid w:val="00CE62D7"/>
    <w:rsid w:val="00CE7E37"/>
    <w:rsid w:val="00CF1589"/>
    <w:rsid w:val="00CF159A"/>
    <w:rsid w:val="00CF5F61"/>
    <w:rsid w:val="00CF5FCA"/>
    <w:rsid w:val="00CF6580"/>
    <w:rsid w:val="00D04592"/>
    <w:rsid w:val="00D056D2"/>
    <w:rsid w:val="00D05ED6"/>
    <w:rsid w:val="00D06CCD"/>
    <w:rsid w:val="00D12477"/>
    <w:rsid w:val="00D20C62"/>
    <w:rsid w:val="00D24408"/>
    <w:rsid w:val="00D24475"/>
    <w:rsid w:val="00D254CC"/>
    <w:rsid w:val="00D30A44"/>
    <w:rsid w:val="00D315C1"/>
    <w:rsid w:val="00D333B5"/>
    <w:rsid w:val="00D40EAD"/>
    <w:rsid w:val="00D40FA4"/>
    <w:rsid w:val="00D42054"/>
    <w:rsid w:val="00D4281B"/>
    <w:rsid w:val="00D44608"/>
    <w:rsid w:val="00D45837"/>
    <w:rsid w:val="00D4667E"/>
    <w:rsid w:val="00D474E6"/>
    <w:rsid w:val="00D525BB"/>
    <w:rsid w:val="00D57793"/>
    <w:rsid w:val="00D6018C"/>
    <w:rsid w:val="00D6084C"/>
    <w:rsid w:val="00D61D6B"/>
    <w:rsid w:val="00D6463F"/>
    <w:rsid w:val="00D72273"/>
    <w:rsid w:val="00D73310"/>
    <w:rsid w:val="00D734C8"/>
    <w:rsid w:val="00D7380C"/>
    <w:rsid w:val="00D81358"/>
    <w:rsid w:val="00D8262B"/>
    <w:rsid w:val="00D91793"/>
    <w:rsid w:val="00D9417D"/>
    <w:rsid w:val="00D9631E"/>
    <w:rsid w:val="00D9766D"/>
    <w:rsid w:val="00DA38F9"/>
    <w:rsid w:val="00DA53CA"/>
    <w:rsid w:val="00DB3D10"/>
    <w:rsid w:val="00DB58F8"/>
    <w:rsid w:val="00DC0438"/>
    <w:rsid w:val="00DC452A"/>
    <w:rsid w:val="00DC49EA"/>
    <w:rsid w:val="00DC61DA"/>
    <w:rsid w:val="00DD3C3F"/>
    <w:rsid w:val="00DD41F5"/>
    <w:rsid w:val="00DD544B"/>
    <w:rsid w:val="00DE580D"/>
    <w:rsid w:val="00DE7C99"/>
    <w:rsid w:val="00DF41D8"/>
    <w:rsid w:val="00DF6284"/>
    <w:rsid w:val="00DF73DB"/>
    <w:rsid w:val="00E00BFB"/>
    <w:rsid w:val="00E03911"/>
    <w:rsid w:val="00E0474D"/>
    <w:rsid w:val="00E05FD6"/>
    <w:rsid w:val="00E06F97"/>
    <w:rsid w:val="00E07A41"/>
    <w:rsid w:val="00E106F1"/>
    <w:rsid w:val="00E12180"/>
    <w:rsid w:val="00E128DB"/>
    <w:rsid w:val="00E12F68"/>
    <w:rsid w:val="00E14EEF"/>
    <w:rsid w:val="00E1590D"/>
    <w:rsid w:val="00E171F0"/>
    <w:rsid w:val="00E173FF"/>
    <w:rsid w:val="00E17E3B"/>
    <w:rsid w:val="00E21B2A"/>
    <w:rsid w:val="00E220D1"/>
    <w:rsid w:val="00E25324"/>
    <w:rsid w:val="00E274BD"/>
    <w:rsid w:val="00E315AE"/>
    <w:rsid w:val="00E31C9F"/>
    <w:rsid w:val="00E31CCA"/>
    <w:rsid w:val="00E31FCB"/>
    <w:rsid w:val="00E34813"/>
    <w:rsid w:val="00E40F13"/>
    <w:rsid w:val="00E42D30"/>
    <w:rsid w:val="00E4417F"/>
    <w:rsid w:val="00E4583D"/>
    <w:rsid w:val="00E477B1"/>
    <w:rsid w:val="00E502F6"/>
    <w:rsid w:val="00E50FB2"/>
    <w:rsid w:val="00E518FD"/>
    <w:rsid w:val="00E5292F"/>
    <w:rsid w:val="00E52EAC"/>
    <w:rsid w:val="00E53F48"/>
    <w:rsid w:val="00E55A61"/>
    <w:rsid w:val="00E60935"/>
    <w:rsid w:val="00E619F4"/>
    <w:rsid w:val="00E623EC"/>
    <w:rsid w:val="00E63E91"/>
    <w:rsid w:val="00E647C1"/>
    <w:rsid w:val="00E64B02"/>
    <w:rsid w:val="00E7029D"/>
    <w:rsid w:val="00E7081B"/>
    <w:rsid w:val="00E76233"/>
    <w:rsid w:val="00E76C1D"/>
    <w:rsid w:val="00E8049B"/>
    <w:rsid w:val="00E80DE4"/>
    <w:rsid w:val="00E82083"/>
    <w:rsid w:val="00E853B6"/>
    <w:rsid w:val="00E854E8"/>
    <w:rsid w:val="00E8796B"/>
    <w:rsid w:val="00E9137B"/>
    <w:rsid w:val="00E9305A"/>
    <w:rsid w:val="00E94FC0"/>
    <w:rsid w:val="00E953EB"/>
    <w:rsid w:val="00E9691B"/>
    <w:rsid w:val="00E96BD6"/>
    <w:rsid w:val="00EA177D"/>
    <w:rsid w:val="00EA1F66"/>
    <w:rsid w:val="00EA3623"/>
    <w:rsid w:val="00EA40DB"/>
    <w:rsid w:val="00EA53BD"/>
    <w:rsid w:val="00EB0F7B"/>
    <w:rsid w:val="00EB2189"/>
    <w:rsid w:val="00EB21D8"/>
    <w:rsid w:val="00EB2C64"/>
    <w:rsid w:val="00EB5AC8"/>
    <w:rsid w:val="00EC0979"/>
    <w:rsid w:val="00EC1977"/>
    <w:rsid w:val="00EC3927"/>
    <w:rsid w:val="00EC6A92"/>
    <w:rsid w:val="00EC7A30"/>
    <w:rsid w:val="00ED07FC"/>
    <w:rsid w:val="00ED0FD9"/>
    <w:rsid w:val="00ED23CC"/>
    <w:rsid w:val="00ED23D6"/>
    <w:rsid w:val="00ED375F"/>
    <w:rsid w:val="00ED6654"/>
    <w:rsid w:val="00ED73E3"/>
    <w:rsid w:val="00EE0577"/>
    <w:rsid w:val="00EE0B7D"/>
    <w:rsid w:val="00EE15CF"/>
    <w:rsid w:val="00EE2664"/>
    <w:rsid w:val="00EE4C4A"/>
    <w:rsid w:val="00EE7168"/>
    <w:rsid w:val="00EF1926"/>
    <w:rsid w:val="00EF488A"/>
    <w:rsid w:val="00EF5091"/>
    <w:rsid w:val="00F02E30"/>
    <w:rsid w:val="00F04FCB"/>
    <w:rsid w:val="00F071DF"/>
    <w:rsid w:val="00F1196A"/>
    <w:rsid w:val="00F11EBC"/>
    <w:rsid w:val="00F12D88"/>
    <w:rsid w:val="00F1356F"/>
    <w:rsid w:val="00F166C6"/>
    <w:rsid w:val="00F2039C"/>
    <w:rsid w:val="00F203CB"/>
    <w:rsid w:val="00F21D49"/>
    <w:rsid w:val="00F231B9"/>
    <w:rsid w:val="00F235F5"/>
    <w:rsid w:val="00F23A6B"/>
    <w:rsid w:val="00F25051"/>
    <w:rsid w:val="00F26997"/>
    <w:rsid w:val="00F30A14"/>
    <w:rsid w:val="00F32DD1"/>
    <w:rsid w:val="00F32FAC"/>
    <w:rsid w:val="00F36CA5"/>
    <w:rsid w:val="00F40D4D"/>
    <w:rsid w:val="00F410AA"/>
    <w:rsid w:val="00F41317"/>
    <w:rsid w:val="00F41665"/>
    <w:rsid w:val="00F417BE"/>
    <w:rsid w:val="00F42902"/>
    <w:rsid w:val="00F43349"/>
    <w:rsid w:val="00F454E4"/>
    <w:rsid w:val="00F4783F"/>
    <w:rsid w:val="00F5283F"/>
    <w:rsid w:val="00F550D3"/>
    <w:rsid w:val="00F55A9D"/>
    <w:rsid w:val="00F55EFA"/>
    <w:rsid w:val="00F56B69"/>
    <w:rsid w:val="00F62209"/>
    <w:rsid w:val="00F62F4C"/>
    <w:rsid w:val="00F63D72"/>
    <w:rsid w:val="00F65DD3"/>
    <w:rsid w:val="00F7207A"/>
    <w:rsid w:val="00F739EE"/>
    <w:rsid w:val="00F75120"/>
    <w:rsid w:val="00F81F87"/>
    <w:rsid w:val="00F8394A"/>
    <w:rsid w:val="00F86F11"/>
    <w:rsid w:val="00F90DC0"/>
    <w:rsid w:val="00F9202A"/>
    <w:rsid w:val="00F9322B"/>
    <w:rsid w:val="00F93672"/>
    <w:rsid w:val="00F968BB"/>
    <w:rsid w:val="00FA3B0F"/>
    <w:rsid w:val="00FA3B62"/>
    <w:rsid w:val="00FA7009"/>
    <w:rsid w:val="00FB390A"/>
    <w:rsid w:val="00FB47B3"/>
    <w:rsid w:val="00FB598E"/>
    <w:rsid w:val="00FB7BB1"/>
    <w:rsid w:val="00FC09BE"/>
    <w:rsid w:val="00FC1743"/>
    <w:rsid w:val="00FC1D81"/>
    <w:rsid w:val="00FC338A"/>
    <w:rsid w:val="00FC348C"/>
    <w:rsid w:val="00FC39CE"/>
    <w:rsid w:val="00FC520E"/>
    <w:rsid w:val="00FC65FA"/>
    <w:rsid w:val="00FC6DCA"/>
    <w:rsid w:val="00FC6F8D"/>
    <w:rsid w:val="00FC7704"/>
    <w:rsid w:val="00FD10BC"/>
    <w:rsid w:val="00FD191C"/>
    <w:rsid w:val="00FD478E"/>
    <w:rsid w:val="00FD5D5A"/>
    <w:rsid w:val="00FD5E3B"/>
    <w:rsid w:val="00FE391F"/>
    <w:rsid w:val="00FE43E5"/>
    <w:rsid w:val="00FF1276"/>
    <w:rsid w:val="00FF34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98903"/>
  <w15:chartTrackingRefBased/>
  <w15:docId w15:val="{075D9872-CB77-48B7-9450-5363771E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B9"/>
    <w:pPr>
      <w:tabs>
        <w:tab w:val="left" w:pos="360"/>
        <w:tab w:val="left" w:pos="720"/>
        <w:tab w:val="left" w:pos="1080"/>
        <w:tab w:val="left" w:pos="1440"/>
        <w:tab w:val="left" w:pos="1800"/>
        <w:tab w:val="left" w:pos="2160"/>
        <w:tab w:val="left" w:pos="2520"/>
        <w:tab w:val="left" w:pos="2880"/>
      </w:tabs>
      <w:spacing w:after="120" w:line="240" w:lineRule="auto"/>
      <w:ind w:left="288"/>
      <w:jc w:val="both"/>
    </w:pPr>
    <w:rPr>
      <w:rFonts w:ascii="Arial" w:hAnsi="Arial" w:cs="Arial"/>
      <w:i/>
      <w:sz w:val="24"/>
      <w:szCs w:val="24"/>
    </w:rPr>
  </w:style>
  <w:style w:type="paragraph" w:styleId="Heading1">
    <w:name w:val="heading 1"/>
    <w:next w:val="Default"/>
    <w:link w:val="Heading1Char"/>
    <w:autoRedefine/>
    <w:uiPriority w:val="9"/>
    <w:qFormat/>
    <w:rsid w:val="00CC25B9"/>
    <w:pPr>
      <w:numPr>
        <w:numId w:val="2"/>
      </w:numPr>
      <w:spacing w:after="200" w:line="240" w:lineRule="auto"/>
      <w:ind w:left="288" w:hanging="288"/>
      <w:outlineLvl w:val="0"/>
    </w:pPr>
    <w:rPr>
      <w:rFonts w:ascii="Arial" w:eastAsia="Times New Roman" w:hAnsi="Arial" w:cs="Arial"/>
      <w:b/>
      <w:sz w:val="28"/>
      <w:szCs w:val="20"/>
    </w:rPr>
  </w:style>
  <w:style w:type="paragraph" w:styleId="Heading2">
    <w:name w:val="heading 2"/>
    <w:basedOn w:val="Heading1"/>
    <w:next w:val="Normal"/>
    <w:link w:val="Heading2Char"/>
    <w:autoRedefine/>
    <w:uiPriority w:val="9"/>
    <w:unhideWhenUsed/>
    <w:qFormat/>
    <w:rsid w:val="00772C50"/>
    <w:pPr>
      <w:numPr>
        <w:numId w:val="0"/>
      </w:numPr>
      <w:spacing w:after="120"/>
      <w:jc w:val="center"/>
      <w:outlineLvl w:val="1"/>
    </w:pPr>
    <w:rPr>
      <w:sz w:val="32"/>
    </w:rPr>
  </w:style>
  <w:style w:type="paragraph" w:styleId="Heading3">
    <w:name w:val="heading 3"/>
    <w:basedOn w:val="Heading1"/>
    <w:next w:val="Normal"/>
    <w:link w:val="Heading3Char"/>
    <w:autoRedefine/>
    <w:uiPriority w:val="9"/>
    <w:unhideWhenUsed/>
    <w:qFormat/>
    <w:rsid w:val="00CC25B9"/>
    <w:pPr>
      <w:numPr>
        <w:numId w:val="0"/>
      </w:numPr>
      <w:outlineLvl w:val="2"/>
    </w:pPr>
  </w:style>
  <w:style w:type="paragraph" w:styleId="Heading4">
    <w:name w:val="heading 4"/>
    <w:next w:val="Normal"/>
    <w:link w:val="Heading4Char"/>
    <w:autoRedefine/>
    <w:uiPriority w:val="9"/>
    <w:unhideWhenUsed/>
    <w:qFormat/>
    <w:rsid w:val="00182CD7"/>
    <w:pPr>
      <w:numPr>
        <w:numId w:val="1"/>
      </w:numPr>
      <w:spacing w:after="120" w:line="240" w:lineRule="auto"/>
      <w:ind w:left="1728" w:hanging="432"/>
      <w:jc w:val="both"/>
      <w:outlineLvl w:val="3"/>
    </w:pPr>
    <w:rPr>
      <w:rFonts w:ascii="Arial" w:eastAsiaTheme="majorEastAsia" w:hAnsi="Arial"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autoRedefine/>
    <w:uiPriority w:val="1"/>
    <w:qFormat/>
    <w:rsid w:val="00A3552E"/>
    <w:pPr>
      <w:numPr>
        <w:numId w:val="3"/>
      </w:numPr>
      <w:spacing w:before="120" w:after="240"/>
    </w:pPr>
    <w:rPr>
      <w:i w:val="0"/>
      <w:iCs/>
    </w:rPr>
  </w:style>
  <w:style w:type="character" w:customStyle="1" w:styleId="ListParagraphChar">
    <w:name w:val="List Paragraph Char"/>
    <w:basedOn w:val="DefaultParagraphFont"/>
    <w:link w:val="ListParagraph"/>
    <w:uiPriority w:val="1"/>
    <w:locked/>
    <w:rsid w:val="00A3552E"/>
    <w:rPr>
      <w:rFonts w:ascii="Arial" w:hAnsi="Arial" w:cs="Arial"/>
      <w:iCs/>
      <w:sz w:val="24"/>
      <w:szCs w:val="24"/>
    </w:rPr>
  </w:style>
  <w:style w:type="paragraph" w:styleId="Header">
    <w:name w:val="header"/>
    <w:basedOn w:val="Normal"/>
    <w:link w:val="HeaderChar"/>
    <w:uiPriority w:val="99"/>
    <w:unhideWhenUsed/>
    <w:rsid w:val="005B4984"/>
    <w:pPr>
      <w:tabs>
        <w:tab w:val="center" w:pos="4680"/>
        <w:tab w:val="right" w:pos="9360"/>
      </w:tabs>
      <w:spacing w:after="0"/>
    </w:pPr>
  </w:style>
  <w:style w:type="character" w:customStyle="1" w:styleId="HeaderChar">
    <w:name w:val="Header Char"/>
    <w:basedOn w:val="DefaultParagraphFont"/>
    <w:link w:val="Header"/>
    <w:uiPriority w:val="99"/>
    <w:rsid w:val="005B4984"/>
  </w:style>
  <w:style w:type="table" w:customStyle="1" w:styleId="TableGrid11">
    <w:name w:val="Table Grid11"/>
    <w:basedOn w:val="TableNormal"/>
    <w:next w:val="TableGrid"/>
    <w:rsid w:val="005B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B4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5132A"/>
    <w:pPr>
      <w:jc w:val="center"/>
    </w:pPr>
    <w:rPr>
      <w:b/>
      <w:sz w:val="32"/>
    </w:rPr>
  </w:style>
  <w:style w:type="paragraph" w:styleId="Footer">
    <w:name w:val="footer"/>
    <w:basedOn w:val="Normal"/>
    <w:link w:val="FooterChar"/>
    <w:uiPriority w:val="99"/>
    <w:unhideWhenUsed/>
    <w:rsid w:val="00CA59FF"/>
    <w:pPr>
      <w:tabs>
        <w:tab w:val="center" w:pos="4680"/>
        <w:tab w:val="right" w:pos="9360"/>
      </w:tabs>
      <w:spacing w:after="0"/>
    </w:pPr>
  </w:style>
  <w:style w:type="character" w:customStyle="1" w:styleId="FooterChar">
    <w:name w:val="Footer Char"/>
    <w:basedOn w:val="DefaultParagraphFont"/>
    <w:link w:val="Footer"/>
    <w:uiPriority w:val="99"/>
    <w:rsid w:val="00CA59FF"/>
  </w:style>
  <w:style w:type="paragraph" w:styleId="CommentText">
    <w:name w:val="annotation text"/>
    <w:basedOn w:val="Normal"/>
    <w:link w:val="CommentTextChar"/>
    <w:uiPriority w:val="99"/>
    <w:semiHidden/>
    <w:unhideWhenUsed/>
    <w:rsid w:val="004C722C"/>
    <w:rPr>
      <w:sz w:val="20"/>
      <w:szCs w:val="20"/>
    </w:rPr>
  </w:style>
  <w:style w:type="character" w:customStyle="1" w:styleId="CommentTextChar">
    <w:name w:val="Comment Text Char"/>
    <w:basedOn w:val="DefaultParagraphFont"/>
    <w:link w:val="CommentText"/>
    <w:uiPriority w:val="99"/>
    <w:semiHidden/>
    <w:rsid w:val="004C722C"/>
    <w:rPr>
      <w:sz w:val="20"/>
      <w:szCs w:val="20"/>
    </w:rPr>
  </w:style>
  <w:style w:type="paragraph" w:customStyle="1" w:styleId="Default">
    <w:name w:val="Default"/>
    <w:rsid w:val="00EC392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272E8E"/>
    <w:rPr>
      <w:sz w:val="16"/>
      <w:szCs w:val="16"/>
    </w:rPr>
  </w:style>
  <w:style w:type="paragraph" w:styleId="CommentSubject">
    <w:name w:val="annotation subject"/>
    <w:basedOn w:val="CommentText"/>
    <w:next w:val="CommentText"/>
    <w:link w:val="CommentSubjectChar"/>
    <w:uiPriority w:val="99"/>
    <w:semiHidden/>
    <w:unhideWhenUsed/>
    <w:rsid w:val="00272E8E"/>
    <w:rPr>
      <w:b/>
      <w:bCs/>
    </w:rPr>
  </w:style>
  <w:style w:type="character" w:customStyle="1" w:styleId="CommentSubjectChar">
    <w:name w:val="Comment Subject Char"/>
    <w:basedOn w:val="CommentTextChar"/>
    <w:link w:val="CommentSubject"/>
    <w:uiPriority w:val="99"/>
    <w:semiHidden/>
    <w:rsid w:val="00272E8E"/>
    <w:rPr>
      <w:b/>
      <w:bCs/>
      <w:sz w:val="20"/>
      <w:szCs w:val="20"/>
    </w:rPr>
  </w:style>
  <w:style w:type="paragraph" w:styleId="BalloonText">
    <w:name w:val="Balloon Text"/>
    <w:basedOn w:val="Normal"/>
    <w:link w:val="BalloonTextChar"/>
    <w:uiPriority w:val="99"/>
    <w:semiHidden/>
    <w:unhideWhenUsed/>
    <w:rsid w:val="00272E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E8E"/>
    <w:rPr>
      <w:rFonts w:ascii="Segoe UI" w:hAnsi="Segoe UI" w:cs="Segoe UI"/>
      <w:sz w:val="18"/>
      <w:szCs w:val="18"/>
    </w:rPr>
  </w:style>
  <w:style w:type="paragraph" w:styleId="Revision">
    <w:name w:val="Revision"/>
    <w:hidden/>
    <w:uiPriority w:val="99"/>
    <w:semiHidden/>
    <w:rsid w:val="008C593F"/>
    <w:pPr>
      <w:spacing w:after="0" w:line="240" w:lineRule="auto"/>
    </w:pPr>
  </w:style>
  <w:style w:type="character" w:customStyle="1" w:styleId="Heading1Char">
    <w:name w:val="Heading 1 Char"/>
    <w:basedOn w:val="DefaultParagraphFont"/>
    <w:link w:val="Heading1"/>
    <w:uiPriority w:val="9"/>
    <w:rsid w:val="00CC25B9"/>
    <w:rPr>
      <w:rFonts w:ascii="Arial" w:eastAsia="Times New Roman" w:hAnsi="Arial" w:cs="Arial"/>
      <w:b/>
      <w:sz w:val="28"/>
      <w:szCs w:val="20"/>
    </w:rPr>
  </w:style>
  <w:style w:type="paragraph" w:styleId="TOCHeading">
    <w:name w:val="TOC Heading"/>
    <w:basedOn w:val="Normal"/>
    <w:next w:val="Normal"/>
    <w:uiPriority w:val="39"/>
    <w:unhideWhenUsed/>
    <w:qFormat/>
    <w:rsid w:val="00D04592"/>
    <w:pPr>
      <w:jc w:val="left"/>
    </w:pPr>
    <w:rPr>
      <w:b/>
      <w:iCs/>
      <w:sz w:val="32"/>
      <w:szCs w:val="32"/>
    </w:rPr>
  </w:style>
  <w:style w:type="character" w:customStyle="1" w:styleId="Heading2Char">
    <w:name w:val="Heading 2 Char"/>
    <w:basedOn w:val="DefaultParagraphFont"/>
    <w:link w:val="Heading2"/>
    <w:uiPriority w:val="9"/>
    <w:rsid w:val="00772C50"/>
    <w:rPr>
      <w:rFonts w:ascii="Arial" w:eastAsia="Times New Roman" w:hAnsi="Arial" w:cs="Arial"/>
      <w:b/>
      <w:sz w:val="32"/>
      <w:szCs w:val="20"/>
    </w:rPr>
  </w:style>
  <w:style w:type="paragraph" w:styleId="TOC2">
    <w:name w:val="toc 2"/>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 w:val="right" w:leader="dot" w:pos="9350"/>
      </w:tabs>
      <w:spacing w:before="120" w:after="0"/>
      <w:ind w:left="0"/>
    </w:pPr>
    <w:rPr>
      <w:rFonts w:asciiTheme="minorHAnsi" w:hAnsiTheme="minorHAnsi" w:cstheme="minorHAnsi"/>
      <w:iCs/>
      <w:sz w:val="20"/>
      <w:szCs w:val="20"/>
    </w:rPr>
  </w:style>
  <w:style w:type="paragraph" w:styleId="TOC1">
    <w:name w:val="toc 1"/>
    <w:aliases w:val="FTReport"/>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 w:val="left" w:pos="480"/>
        <w:tab w:val="right" w:leader="dot" w:pos="9350"/>
      </w:tabs>
      <w:spacing w:before="240"/>
      <w:ind w:left="0"/>
      <w:jc w:val="left"/>
    </w:pPr>
    <w:rPr>
      <w:rFonts w:cstheme="minorHAnsi"/>
      <w:bCs/>
      <w:i w:val="0"/>
      <w:sz w:val="28"/>
      <w:szCs w:val="20"/>
    </w:rPr>
  </w:style>
  <w:style w:type="character" w:styleId="Hyperlink">
    <w:name w:val="Hyperlink"/>
    <w:basedOn w:val="DefaultParagraphFont"/>
    <w:uiPriority w:val="99"/>
    <w:unhideWhenUsed/>
    <w:rsid w:val="00836A5F"/>
    <w:rPr>
      <w:color w:val="0563C1" w:themeColor="hyperlink"/>
      <w:u w:val="single"/>
    </w:rPr>
  </w:style>
  <w:style w:type="paragraph" w:styleId="FootnoteText">
    <w:name w:val="footnote text"/>
    <w:basedOn w:val="Normal"/>
    <w:link w:val="FootnoteTextChar"/>
    <w:uiPriority w:val="99"/>
    <w:semiHidden/>
    <w:unhideWhenUsed/>
    <w:rsid w:val="0040640B"/>
    <w:pPr>
      <w:spacing w:after="0"/>
    </w:pPr>
    <w:rPr>
      <w:sz w:val="20"/>
      <w:szCs w:val="20"/>
    </w:rPr>
  </w:style>
  <w:style w:type="character" w:customStyle="1" w:styleId="FootnoteTextChar">
    <w:name w:val="Footnote Text Char"/>
    <w:basedOn w:val="DefaultParagraphFont"/>
    <w:link w:val="FootnoteText"/>
    <w:uiPriority w:val="99"/>
    <w:semiHidden/>
    <w:rsid w:val="0040640B"/>
    <w:rPr>
      <w:sz w:val="20"/>
      <w:szCs w:val="20"/>
    </w:rPr>
  </w:style>
  <w:style w:type="character" w:styleId="FootnoteReference">
    <w:name w:val="footnote reference"/>
    <w:basedOn w:val="DefaultParagraphFont"/>
    <w:uiPriority w:val="99"/>
    <w:semiHidden/>
    <w:unhideWhenUsed/>
    <w:rsid w:val="0040640B"/>
    <w:rPr>
      <w:vertAlign w:val="superscript"/>
    </w:rPr>
  </w:style>
  <w:style w:type="paragraph" w:styleId="EndnoteText">
    <w:name w:val="endnote text"/>
    <w:basedOn w:val="Normal"/>
    <w:link w:val="EndnoteTextChar"/>
    <w:uiPriority w:val="99"/>
    <w:semiHidden/>
    <w:unhideWhenUsed/>
    <w:rsid w:val="00160221"/>
    <w:pPr>
      <w:spacing w:after="0"/>
    </w:pPr>
    <w:rPr>
      <w:sz w:val="20"/>
      <w:szCs w:val="20"/>
    </w:rPr>
  </w:style>
  <w:style w:type="character" w:customStyle="1" w:styleId="EndnoteTextChar">
    <w:name w:val="Endnote Text Char"/>
    <w:basedOn w:val="DefaultParagraphFont"/>
    <w:link w:val="EndnoteText"/>
    <w:uiPriority w:val="99"/>
    <w:semiHidden/>
    <w:rsid w:val="00160221"/>
    <w:rPr>
      <w:rFonts w:ascii="Arial" w:hAnsi="Arial"/>
      <w:sz w:val="20"/>
      <w:szCs w:val="20"/>
    </w:rPr>
  </w:style>
  <w:style w:type="character" w:styleId="EndnoteReference">
    <w:name w:val="endnote reference"/>
    <w:basedOn w:val="DefaultParagraphFont"/>
    <w:uiPriority w:val="99"/>
    <w:semiHidden/>
    <w:unhideWhenUsed/>
    <w:rsid w:val="00160221"/>
    <w:rPr>
      <w:vertAlign w:val="superscript"/>
    </w:rPr>
  </w:style>
  <w:style w:type="character" w:customStyle="1" w:styleId="Heading3Char">
    <w:name w:val="Heading 3 Char"/>
    <w:basedOn w:val="DefaultParagraphFont"/>
    <w:link w:val="Heading3"/>
    <w:uiPriority w:val="9"/>
    <w:rsid w:val="00CC25B9"/>
    <w:rPr>
      <w:rFonts w:ascii="Arial" w:eastAsia="Times New Roman" w:hAnsi="Arial" w:cs="Arial"/>
      <w:b/>
      <w:sz w:val="28"/>
      <w:szCs w:val="20"/>
    </w:rPr>
  </w:style>
  <w:style w:type="character" w:customStyle="1" w:styleId="Heading4Char">
    <w:name w:val="Heading 4 Char"/>
    <w:basedOn w:val="DefaultParagraphFont"/>
    <w:link w:val="Heading4"/>
    <w:uiPriority w:val="9"/>
    <w:rsid w:val="00182CD7"/>
    <w:rPr>
      <w:rFonts w:ascii="Arial" w:eastAsiaTheme="majorEastAsia" w:hAnsi="Arial" w:cstheme="majorBidi"/>
      <w:i/>
      <w:iCs/>
    </w:rPr>
  </w:style>
  <w:style w:type="character" w:customStyle="1" w:styleId="Hypertext">
    <w:name w:val="Hypertext"/>
    <w:rsid w:val="00A53702"/>
    <w:rPr>
      <w:b/>
      <w:color w:val="008000"/>
      <w:u w:val="single"/>
    </w:rPr>
  </w:style>
  <w:style w:type="character" w:styleId="UnresolvedMention">
    <w:name w:val="Unresolved Mention"/>
    <w:basedOn w:val="DefaultParagraphFont"/>
    <w:uiPriority w:val="99"/>
    <w:semiHidden/>
    <w:unhideWhenUsed/>
    <w:rsid w:val="00114F80"/>
    <w:rPr>
      <w:color w:val="808080"/>
      <w:shd w:val="clear" w:color="auto" w:fill="E6E6E6"/>
    </w:rPr>
  </w:style>
  <w:style w:type="paragraph" w:customStyle="1" w:styleId="ClauseText9">
    <w:name w:val="Clause Text 9"/>
    <w:next w:val="Normal"/>
    <w:uiPriority w:val="99"/>
    <w:rsid w:val="00E00BFB"/>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styleId="Strong">
    <w:name w:val="Strong"/>
    <w:uiPriority w:val="22"/>
    <w:qFormat/>
    <w:rsid w:val="00843F5F"/>
    <w:rPr>
      <w:b/>
    </w:rPr>
  </w:style>
  <w:style w:type="paragraph" w:styleId="Title">
    <w:name w:val="Title"/>
    <w:basedOn w:val="Normal"/>
    <w:next w:val="Normal"/>
    <w:link w:val="TitleChar"/>
    <w:uiPriority w:val="10"/>
    <w:qFormat/>
    <w:rsid w:val="00843F5F"/>
    <w:pPr>
      <w:ind w:left="0"/>
    </w:pPr>
    <w:rPr>
      <w:b/>
      <w:sz w:val="32"/>
    </w:rPr>
  </w:style>
  <w:style w:type="character" w:customStyle="1" w:styleId="TitleChar">
    <w:name w:val="Title Char"/>
    <w:basedOn w:val="DefaultParagraphFont"/>
    <w:link w:val="Title"/>
    <w:uiPriority w:val="10"/>
    <w:rsid w:val="00843F5F"/>
    <w:rPr>
      <w:rFonts w:ascii="Arial" w:hAnsi="Arial" w:cs="Arial"/>
      <w:b/>
      <w:i/>
      <w:sz w:val="32"/>
      <w:szCs w:val="24"/>
    </w:rPr>
  </w:style>
  <w:style w:type="paragraph" w:styleId="TOC3">
    <w:name w:val="toc 3"/>
    <w:basedOn w:val="Normal"/>
    <w:next w:val="Normal"/>
    <w:autoRedefine/>
    <w:uiPriority w:val="39"/>
    <w:unhideWhenUsed/>
    <w:rsid w:val="00AD688A"/>
    <w:pPr>
      <w:tabs>
        <w:tab w:val="clear" w:pos="360"/>
        <w:tab w:val="clear" w:pos="720"/>
        <w:tab w:val="clear" w:pos="1080"/>
        <w:tab w:val="clear" w:pos="1440"/>
        <w:tab w:val="clear" w:pos="1800"/>
        <w:tab w:val="clear" w:pos="2160"/>
        <w:tab w:val="clear" w:pos="2520"/>
        <w:tab w:val="clear" w:pos="2880"/>
      </w:tabs>
      <w:spacing w:after="0"/>
      <w:ind w:left="480"/>
      <w:jc w:val="left"/>
    </w:pPr>
    <w:rPr>
      <w:rFonts w:asciiTheme="minorHAnsi" w:hAnsiTheme="minorHAnsi" w:cstheme="minorHAnsi"/>
      <w:i w:val="0"/>
      <w:sz w:val="20"/>
      <w:szCs w:val="20"/>
    </w:rPr>
  </w:style>
  <w:style w:type="paragraph" w:styleId="TOC4">
    <w:name w:val="toc 4"/>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s>
      <w:spacing w:after="0"/>
      <w:ind w:left="720"/>
      <w:jc w:val="left"/>
    </w:pPr>
    <w:rPr>
      <w:rFonts w:asciiTheme="minorHAnsi" w:hAnsiTheme="minorHAnsi" w:cstheme="minorHAnsi"/>
      <w:i w:val="0"/>
      <w:sz w:val="20"/>
      <w:szCs w:val="20"/>
    </w:rPr>
  </w:style>
  <w:style w:type="paragraph" w:styleId="TOC5">
    <w:name w:val="toc 5"/>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s>
      <w:spacing w:after="0"/>
      <w:ind w:left="960"/>
      <w:jc w:val="left"/>
    </w:pPr>
    <w:rPr>
      <w:rFonts w:asciiTheme="minorHAnsi" w:hAnsiTheme="minorHAnsi" w:cstheme="minorHAnsi"/>
      <w:i w:val="0"/>
      <w:sz w:val="20"/>
      <w:szCs w:val="20"/>
    </w:rPr>
  </w:style>
  <w:style w:type="paragraph" w:styleId="TOC6">
    <w:name w:val="toc 6"/>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s>
      <w:spacing w:after="0"/>
      <w:ind w:left="1200"/>
      <w:jc w:val="left"/>
    </w:pPr>
    <w:rPr>
      <w:rFonts w:asciiTheme="minorHAnsi" w:hAnsiTheme="minorHAnsi" w:cstheme="minorHAnsi"/>
      <w:i w:val="0"/>
      <w:sz w:val="20"/>
      <w:szCs w:val="20"/>
    </w:rPr>
  </w:style>
  <w:style w:type="paragraph" w:styleId="TOC7">
    <w:name w:val="toc 7"/>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s>
      <w:spacing w:after="0"/>
      <w:ind w:left="1440"/>
      <w:jc w:val="left"/>
    </w:pPr>
    <w:rPr>
      <w:rFonts w:asciiTheme="minorHAnsi" w:hAnsiTheme="minorHAnsi" w:cstheme="minorHAnsi"/>
      <w:i w:val="0"/>
      <w:sz w:val="20"/>
      <w:szCs w:val="20"/>
    </w:rPr>
  </w:style>
  <w:style w:type="paragraph" w:styleId="TOC8">
    <w:name w:val="toc 8"/>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s>
      <w:spacing w:after="0"/>
      <w:ind w:left="1680"/>
      <w:jc w:val="left"/>
    </w:pPr>
    <w:rPr>
      <w:rFonts w:asciiTheme="minorHAnsi" w:hAnsiTheme="minorHAnsi" w:cstheme="minorHAnsi"/>
      <w:i w:val="0"/>
      <w:sz w:val="20"/>
      <w:szCs w:val="20"/>
    </w:rPr>
  </w:style>
  <w:style w:type="paragraph" w:styleId="TOC9">
    <w:name w:val="toc 9"/>
    <w:basedOn w:val="Normal"/>
    <w:next w:val="Normal"/>
    <w:autoRedefine/>
    <w:uiPriority w:val="39"/>
    <w:unhideWhenUsed/>
    <w:rsid w:val="00D04592"/>
    <w:pPr>
      <w:tabs>
        <w:tab w:val="clear" w:pos="360"/>
        <w:tab w:val="clear" w:pos="720"/>
        <w:tab w:val="clear" w:pos="1080"/>
        <w:tab w:val="clear" w:pos="1440"/>
        <w:tab w:val="clear" w:pos="1800"/>
        <w:tab w:val="clear" w:pos="2160"/>
        <w:tab w:val="clear" w:pos="2520"/>
        <w:tab w:val="clear" w:pos="2880"/>
      </w:tabs>
      <w:spacing w:after="0"/>
      <w:ind w:left="1920"/>
      <w:jc w:val="left"/>
    </w:pPr>
    <w:rPr>
      <w:rFonts w:asciiTheme="minorHAnsi" w:hAnsiTheme="minorHAnsi" w:cstheme="minorHAnsi"/>
      <w:i w:val="0"/>
      <w:sz w:val="20"/>
      <w:szCs w:val="20"/>
    </w:rPr>
  </w:style>
  <w:style w:type="paragraph" w:styleId="IntenseQuote">
    <w:name w:val="Intense Quote"/>
    <w:basedOn w:val="Normal"/>
    <w:next w:val="Normal"/>
    <w:link w:val="IntenseQuoteChar"/>
    <w:uiPriority w:val="30"/>
    <w:qFormat/>
    <w:rsid w:val="00D04592"/>
    <w:pPr>
      <w:pBdr>
        <w:top w:val="single" w:sz="4" w:space="10" w:color="4472C4" w:themeColor="accent1"/>
        <w:bottom w:val="single" w:sz="4" w:space="10" w:color="4472C4" w:themeColor="accent1"/>
      </w:pBdr>
      <w:spacing w:before="360" w:after="360"/>
      <w:ind w:left="864" w:right="864"/>
      <w:jc w:val="center"/>
    </w:pPr>
    <w:rPr>
      <w:i w:val="0"/>
      <w:iCs/>
      <w:color w:val="4472C4" w:themeColor="accent1"/>
    </w:rPr>
  </w:style>
  <w:style w:type="character" w:customStyle="1" w:styleId="IntenseQuoteChar">
    <w:name w:val="Intense Quote Char"/>
    <w:basedOn w:val="DefaultParagraphFont"/>
    <w:link w:val="IntenseQuote"/>
    <w:uiPriority w:val="30"/>
    <w:rsid w:val="00D04592"/>
    <w:rPr>
      <w:rFonts w:ascii="Arial" w:hAnsi="Arial" w:cs="Arial"/>
      <w:iCs/>
      <w:color w:val="4472C4" w:themeColor="accent1"/>
      <w:sz w:val="24"/>
      <w:szCs w:val="24"/>
    </w:rPr>
  </w:style>
  <w:style w:type="character" w:styleId="BookTitle">
    <w:name w:val="Book Title"/>
    <w:basedOn w:val="DefaultParagraphFont"/>
    <w:uiPriority w:val="33"/>
    <w:qFormat/>
    <w:rsid w:val="00AA0F2B"/>
    <w:rPr>
      <w:b/>
      <w:bCs/>
      <w:i/>
      <w:iCs/>
      <w:spacing w:val="5"/>
    </w:rPr>
  </w:style>
  <w:style w:type="numbering" w:customStyle="1" w:styleId="CurrentList1">
    <w:name w:val="Current List1"/>
    <w:uiPriority w:val="99"/>
    <w:rsid w:val="00445323"/>
    <w:pPr>
      <w:numPr>
        <w:numId w:val="6"/>
      </w:numPr>
    </w:pPr>
  </w:style>
  <w:style w:type="numbering" w:customStyle="1" w:styleId="CurrentList2">
    <w:name w:val="Current List2"/>
    <w:uiPriority w:val="99"/>
    <w:rsid w:val="0044532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18894">
      <w:bodyDiv w:val="1"/>
      <w:marLeft w:val="0"/>
      <w:marRight w:val="0"/>
      <w:marTop w:val="0"/>
      <w:marBottom w:val="0"/>
      <w:divBdr>
        <w:top w:val="none" w:sz="0" w:space="0" w:color="auto"/>
        <w:left w:val="none" w:sz="0" w:space="0" w:color="auto"/>
        <w:bottom w:val="none" w:sz="0" w:space="0" w:color="auto"/>
        <w:right w:val="none" w:sz="0" w:space="0" w:color="auto"/>
      </w:divBdr>
    </w:div>
    <w:div w:id="173033695">
      <w:bodyDiv w:val="1"/>
      <w:marLeft w:val="0"/>
      <w:marRight w:val="0"/>
      <w:marTop w:val="0"/>
      <w:marBottom w:val="0"/>
      <w:divBdr>
        <w:top w:val="none" w:sz="0" w:space="0" w:color="auto"/>
        <w:left w:val="none" w:sz="0" w:space="0" w:color="auto"/>
        <w:bottom w:val="none" w:sz="0" w:space="0" w:color="auto"/>
        <w:right w:val="none" w:sz="0" w:space="0" w:color="auto"/>
      </w:divBdr>
    </w:div>
    <w:div w:id="217212117">
      <w:bodyDiv w:val="1"/>
      <w:marLeft w:val="0"/>
      <w:marRight w:val="0"/>
      <w:marTop w:val="0"/>
      <w:marBottom w:val="0"/>
      <w:divBdr>
        <w:top w:val="none" w:sz="0" w:space="0" w:color="auto"/>
        <w:left w:val="none" w:sz="0" w:space="0" w:color="auto"/>
        <w:bottom w:val="none" w:sz="0" w:space="0" w:color="auto"/>
        <w:right w:val="none" w:sz="0" w:space="0" w:color="auto"/>
      </w:divBdr>
    </w:div>
    <w:div w:id="233779272">
      <w:bodyDiv w:val="1"/>
      <w:marLeft w:val="0"/>
      <w:marRight w:val="0"/>
      <w:marTop w:val="0"/>
      <w:marBottom w:val="0"/>
      <w:divBdr>
        <w:top w:val="none" w:sz="0" w:space="0" w:color="auto"/>
        <w:left w:val="none" w:sz="0" w:space="0" w:color="auto"/>
        <w:bottom w:val="none" w:sz="0" w:space="0" w:color="auto"/>
        <w:right w:val="none" w:sz="0" w:space="0" w:color="auto"/>
      </w:divBdr>
    </w:div>
    <w:div w:id="417991177">
      <w:bodyDiv w:val="1"/>
      <w:marLeft w:val="0"/>
      <w:marRight w:val="0"/>
      <w:marTop w:val="0"/>
      <w:marBottom w:val="0"/>
      <w:divBdr>
        <w:top w:val="none" w:sz="0" w:space="0" w:color="auto"/>
        <w:left w:val="none" w:sz="0" w:space="0" w:color="auto"/>
        <w:bottom w:val="none" w:sz="0" w:space="0" w:color="auto"/>
        <w:right w:val="none" w:sz="0" w:space="0" w:color="auto"/>
      </w:divBdr>
    </w:div>
    <w:div w:id="426342492">
      <w:bodyDiv w:val="1"/>
      <w:marLeft w:val="0"/>
      <w:marRight w:val="0"/>
      <w:marTop w:val="0"/>
      <w:marBottom w:val="0"/>
      <w:divBdr>
        <w:top w:val="none" w:sz="0" w:space="0" w:color="auto"/>
        <w:left w:val="none" w:sz="0" w:space="0" w:color="auto"/>
        <w:bottom w:val="none" w:sz="0" w:space="0" w:color="auto"/>
        <w:right w:val="none" w:sz="0" w:space="0" w:color="auto"/>
      </w:divBdr>
    </w:div>
    <w:div w:id="972364749">
      <w:bodyDiv w:val="1"/>
      <w:marLeft w:val="0"/>
      <w:marRight w:val="0"/>
      <w:marTop w:val="0"/>
      <w:marBottom w:val="0"/>
      <w:divBdr>
        <w:top w:val="none" w:sz="0" w:space="0" w:color="auto"/>
        <w:left w:val="none" w:sz="0" w:space="0" w:color="auto"/>
        <w:bottom w:val="none" w:sz="0" w:space="0" w:color="auto"/>
        <w:right w:val="none" w:sz="0" w:space="0" w:color="auto"/>
      </w:divBdr>
    </w:div>
    <w:div w:id="973176255">
      <w:bodyDiv w:val="1"/>
      <w:marLeft w:val="0"/>
      <w:marRight w:val="0"/>
      <w:marTop w:val="0"/>
      <w:marBottom w:val="0"/>
      <w:divBdr>
        <w:top w:val="none" w:sz="0" w:space="0" w:color="auto"/>
        <w:left w:val="none" w:sz="0" w:space="0" w:color="auto"/>
        <w:bottom w:val="none" w:sz="0" w:space="0" w:color="auto"/>
        <w:right w:val="none" w:sz="0" w:space="0" w:color="auto"/>
      </w:divBdr>
    </w:div>
    <w:div w:id="1117219160">
      <w:bodyDiv w:val="1"/>
      <w:marLeft w:val="0"/>
      <w:marRight w:val="0"/>
      <w:marTop w:val="0"/>
      <w:marBottom w:val="0"/>
      <w:divBdr>
        <w:top w:val="none" w:sz="0" w:space="0" w:color="auto"/>
        <w:left w:val="none" w:sz="0" w:space="0" w:color="auto"/>
        <w:bottom w:val="none" w:sz="0" w:space="0" w:color="auto"/>
        <w:right w:val="none" w:sz="0" w:space="0" w:color="auto"/>
      </w:divBdr>
    </w:div>
    <w:div w:id="1254045460">
      <w:bodyDiv w:val="1"/>
      <w:marLeft w:val="0"/>
      <w:marRight w:val="0"/>
      <w:marTop w:val="0"/>
      <w:marBottom w:val="0"/>
      <w:divBdr>
        <w:top w:val="none" w:sz="0" w:space="0" w:color="auto"/>
        <w:left w:val="none" w:sz="0" w:space="0" w:color="auto"/>
        <w:bottom w:val="none" w:sz="0" w:space="0" w:color="auto"/>
        <w:right w:val="none" w:sz="0" w:space="0" w:color="auto"/>
      </w:divBdr>
    </w:div>
    <w:div w:id="1352025314">
      <w:bodyDiv w:val="1"/>
      <w:marLeft w:val="0"/>
      <w:marRight w:val="0"/>
      <w:marTop w:val="0"/>
      <w:marBottom w:val="0"/>
      <w:divBdr>
        <w:top w:val="none" w:sz="0" w:space="0" w:color="auto"/>
        <w:left w:val="none" w:sz="0" w:space="0" w:color="auto"/>
        <w:bottom w:val="none" w:sz="0" w:space="0" w:color="auto"/>
        <w:right w:val="none" w:sz="0" w:space="0" w:color="auto"/>
      </w:divBdr>
    </w:div>
    <w:div w:id="1369834724">
      <w:bodyDiv w:val="1"/>
      <w:marLeft w:val="0"/>
      <w:marRight w:val="0"/>
      <w:marTop w:val="0"/>
      <w:marBottom w:val="0"/>
      <w:divBdr>
        <w:top w:val="none" w:sz="0" w:space="0" w:color="auto"/>
        <w:left w:val="none" w:sz="0" w:space="0" w:color="auto"/>
        <w:bottom w:val="none" w:sz="0" w:space="0" w:color="auto"/>
        <w:right w:val="none" w:sz="0" w:space="0" w:color="auto"/>
      </w:divBdr>
    </w:div>
    <w:div w:id="1539052721">
      <w:bodyDiv w:val="1"/>
      <w:marLeft w:val="0"/>
      <w:marRight w:val="0"/>
      <w:marTop w:val="0"/>
      <w:marBottom w:val="0"/>
      <w:divBdr>
        <w:top w:val="none" w:sz="0" w:space="0" w:color="auto"/>
        <w:left w:val="none" w:sz="0" w:space="0" w:color="auto"/>
        <w:bottom w:val="none" w:sz="0" w:space="0" w:color="auto"/>
        <w:right w:val="none" w:sz="0" w:space="0" w:color="auto"/>
      </w:divBdr>
    </w:div>
    <w:div w:id="1570269168">
      <w:bodyDiv w:val="1"/>
      <w:marLeft w:val="0"/>
      <w:marRight w:val="0"/>
      <w:marTop w:val="0"/>
      <w:marBottom w:val="0"/>
      <w:divBdr>
        <w:top w:val="none" w:sz="0" w:space="0" w:color="auto"/>
        <w:left w:val="none" w:sz="0" w:space="0" w:color="auto"/>
        <w:bottom w:val="none" w:sz="0" w:space="0" w:color="auto"/>
        <w:right w:val="none" w:sz="0" w:space="0" w:color="auto"/>
      </w:divBdr>
    </w:div>
    <w:div w:id="1651471941">
      <w:bodyDiv w:val="1"/>
      <w:marLeft w:val="0"/>
      <w:marRight w:val="0"/>
      <w:marTop w:val="0"/>
      <w:marBottom w:val="0"/>
      <w:divBdr>
        <w:top w:val="none" w:sz="0" w:space="0" w:color="auto"/>
        <w:left w:val="none" w:sz="0" w:space="0" w:color="auto"/>
        <w:bottom w:val="none" w:sz="0" w:space="0" w:color="auto"/>
        <w:right w:val="none" w:sz="0" w:space="0" w:color="auto"/>
      </w:divBdr>
    </w:div>
    <w:div w:id="1677687857">
      <w:bodyDiv w:val="1"/>
      <w:marLeft w:val="0"/>
      <w:marRight w:val="0"/>
      <w:marTop w:val="0"/>
      <w:marBottom w:val="0"/>
      <w:divBdr>
        <w:top w:val="none" w:sz="0" w:space="0" w:color="auto"/>
        <w:left w:val="none" w:sz="0" w:space="0" w:color="auto"/>
        <w:bottom w:val="none" w:sz="0" w:space="0" w:color="auto"/>
        <w:right w:val="none" w:sz="0" w:space="0" w:color="auto"/>
      </w:divBdr>
    </w:div>
    <w:div w:id="1680810051">
      <w:bodyDiv w:val="1"/>
      <w:marLeft w:val="0"/>
      <w:marRight w:val="0"/>
      <w:marTop w:val="0"/>
      <w:marBottom w:val="0"/>
      <w:divBdr>
        <w:top w:val="none" w:sz="0" w:space="0" w:color="auto"/>
        <w:left w:val="none" w:sz="0" w:space="0" w:color="auto"/>
        <w:bottom w:val="none" w:sz="0" w:space="0" w:color="auto"/>
        <w:right w:val="none" w:sz="0" w:space="0" w:color="auto"/>
      </w:divBdr>
    </w:div>
    <w:div w:id="1719236463">
      <w:bodyDiv w:val="1"/>
      <w:marLeft w:val="0"/>
      <w:marRight w:val="0"/>
      <w:marTop w:val="0"/>
      <w:marBottom w:val="0"/>
      <w:divBdr>
        <w:top w:val="none" w:sz="0" w:space="0" w:color="auto"/>
        <w:left w:val="none" w:sz="0" w:space="0" w:color="auto"/>
        <w:bottom w:val="none" w:sz="0" w:space="0" w:color="auto"/>
        <w:right w:val="none" w:sz="0" w:space="0" w:color="auto"/>
      </w:divBdr>
    </w:div>
    <w:div w:id="1847788311">
      <w:bodyDiv w:val="1"/>
      <w:marLeft w:val="0"/>
      <w:marRight w:val="0"/>
      <w:marTop w:val="0"/>
      <w:marBottom w:val="0"/>
      <w:divBdr>
        <w:top w:val="none" w:sz="0" w:space="0" w:color="auto"/>
        <w:left w:val="none" w:sz="0" w:space="0" w:color="auto"/>
        <w:bottom w:val="none" w:sz="0" w:space="0" w:color="auto"/>
        <w:right w:val="none" w:sz="0" w:space="0" w:color="auto"/>
      </w:divBdr>
    </w:div>
    <w:div w:id="1852717402">
      <w:bodyDiv w:val="1"/>
      <w:marLeft w:val="0"/>
      <w:marRight w:val="0"/>
      <w:marTop w:val="0"/>
      <w:marBottom w:val="0"/>
      <w:divBdr>
        <w:top w:val="none" w:sz="0" w:space="0" w:color="auto"/>
        <w:left w:val="none" w:sz="0" w:space="0" w:color="auto"/>
        <w:bottom w:val="none" w:sz="0" w:space="0" w:color="auto"/>
        <w:right w:val="none" w:sz="0" w:space="0" w:color="auto"/>
      </w:divBdr>
    </w:div>
    <w:div w:id="210510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usmart.ece.utah.edu/metis/" TargetMode="External"/><Relationship Id="rId2" Type="http://schemas.openxmlformats.org/officeDocument/2006/relationships/customXml" Target="../customXml/item2.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24894E934294C81C1C9882282F86A" ma:contentTypeVersion="4" ma:contentTypeDescription="Create a new document." ma:contentTypeScope="" ma:versionID="f4704f02e44b64524c70d202b3cc272c">
  <xsd:schema xmlns:xsd="http://www.w3.org/2001/XMLSchema" xmlns:xs="http://www.w3.org/2001/XMLSchema" xmlns:p="http://schemas.microsoft.com/office/2006/metadata/properties" xmlns:ns2="d983d32e-4e64-40cc-a87e-e10498b8addf" targetNamespace="http://schemas.microsoft.com/office/2006/metadata/properties" ma:root="true" ma:fieldsID="f97560f0b8aec61e77526e1c9033c17f" ns2:_="">
    <xsd:import namespace="d983d32e-4e64-40cc-a87e-e10498b8addf"/>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3d32e-4e64-40cc-a87e-e10498b8a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F7B68-33F1-415A-BB27-FDB72FAD8A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A0DA03-2EBB-46D2-9C3D-8835DC22C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3d32e-4e64-40cc-a87e-e10498b8a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B090FD-A2C7-4F8B-AF3F-2C242A20D037}">
  <ds:schemaRefs>
    <ds:schemaRef ds:uri="http://schemas.openxmlformats.org/officeDocument/2006/bibliography"/>
  </ds:schemaRefs>
</ds:datastoreItem>
</file>

<file path=customXml/itemProps4.xml><?xml version="1.0" encoding="utf-8"?>
<ds:datastoreItem xmlns:ds="http://schemas.openxmlformats.org/officeDocument/2006/customXml" ds:itemID="{FEBE3005-62E4-4EE6-9D89-230BB6D7D6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5016</Words>
  <Characters>28597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Yachini, Megan A. (CONTR)</dc:creator>
  <cp:keywords/>
  <dc:description/>
  <cp:lastModifiedBy>Florian Solzbacher</cp:lastModifiedBy>
  <cp:revision>2</cp:revision>
  <cp:lastPrinted>2021-06-22T05:25:00Z</cp:lastPrinted>
  <dcterms:created xsi:type="dcterms:W3CDTF">2021-06-22T19:44:00Z</dcterms:created>
  <dcterms:modified xsi:type="dcterms:W3CDTF">2021-06-22T19:44:00Z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0x01010084A24894E934294C81C1C9882282F86A</vt:lpwstr>
  </property>
</Properties>
</file>